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AF292" w14:textId="119455D8" w:rsidR="000E087C" w:rsidRPr="00384DB4" w:rsidRDefault="11AA14D7" w:rsidP="0990E1B4">
      <w:pPr>
        <w:rPr>
          <w:rFonts w:ascii="Century Gothic" w:eastAsia="Century Gothic" w:hAnsi="Century Gothic" w:cs="Century Gothic"/>
          <w:color w:val="000000" w:themeColor="text1"/>
          <w:sz w:val="32"/>
          <w:szCs w:val="32"/>
          <w:highlight w:val="yellow"/>
        </w:rPr>
      </w:pPr>
      <w:r>
        <w:rPr>
          <w:noProof/>
        </w:rPr>
        <w:drawing>
          <wp:inline distT="0" distB="0" distL="0" distR="0" wp14:anchorId="4E56F979" wp14:editId="6762C433">
            <wp:extent cx="2159635" cy="919323"/>
            <wp:effectExtent l="0" t="0" r="0" b="0"/>
            <wp:docPr id="1238006285" name="Picture 1238006285"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jpg"/>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159635" cy="919323"/>
                    </a:xfrm>
                    <a:prstGeom prst="rect">
                      <a:avLst/>
                    </a:prstGeom>
                    <a:ln/>
                  </pic:spPr>
                </pic:pic>
              </a:graphicData>
            </a:graphic>
          </wp:inline>
        </w:drawing>
      </w:r>
    </w:p>
    <w:p w14:paraId="00000003" w14:textId="44E6EDF1" w:rsidR="000E087C" w:rsidRPr="00384DB4" w:rsidRDefault="00E437FF" w:rsidP="0990E1B4">
      <w:pPr>
        <w:rPr>
          <w:rFonts w:ascii="Century Gothic" w:eastAsia="Century Gothic" w:hAnsi="Century Gothic" w:cs="Century Gothic"/>
          <w:color w:val="000000"/>
          <w:sz w:val="32"/>
          <w:szCs w:val="32"/>
        </w:rPr>
      </w:pPr>
      <w:r w:rsidRPr="0990E1B4">
        <w:rPr>
          <w:rFonts w:ascii="Century Gothic" w:eastAsia="Century Gothic" w:hAnsi="Century Gothic" w:cs="Century Gothic"/>
          <w:color w:val="000000" w:themeColor="text1"/>
          <w:sz w:val="32"/>
          <w:szCs w:val="32"/>
        </w:rPr>
        <w:t xml:space="preserve">Position Statement – Solent Cluster </w:t>
      </w:r>
      <w:r w:rsidR="00A45DDC" w:rsidRPr="0990E1B4">
        <w:rPr>
          <w:rFonts w:ascii="Century Gothic" w:eastAsia="Century Gothic" w:hAnsi="Century Gothic" w:cs="Century Gothic"/>
          <w:color w:val="000000" w:themeColor="text1"/>
          <w:sz w:val="32"/>
          <w:szCs w:val="32"/>
        </w:rPr>
        <w:t>and Hydrogen</w:t>
      </w:r>
      <w:r w:rsidR="320112E8" w:rsidRPr="0990E1B4">
        <w:rPr>
          <w:rFonts w:ascii="Century Gothic" w:eastAsia="Century Gothic" w:hAnsi="Century Gothic" w:cs="Century Gothic"/>
          <w:color w:val="000000" w:themeColor="text1"/>
          <w:sz w:val="32"/>
          <w:szCs w:val="32"/>
        </w:rPr>
        <w:t xml:space="preserve"> </w:t>
      </w:r>
      <w:r w:rsidR="00A45DDC" w:rsidRPr="0990E1B4">
        <w:rPr>
          <w:rFonts w:ascii="Century Gothic" w:eastAsia="Century Gothic" w:hAnsi="Century Gothic" w:cs="Century Gothic"/>
          <w:color w:val="000000" w:themeColor="text1"/>
          <w:sz w:val="32"/>
          <w:szCs w:val="32"/>
        </w:rPr>
        <w:t>Production</w:t>
      </w:r>
    </w:p>
    <w:p w14:paraId="269740DB" w14:textId="38DB378F" w:rsidR="0990E1B4" w:rsidRDefault="0990E1B4" w:rsidP="0990E1B4">
      <w:pPr>
        <w:rPr>
          <w:rFonts w:ascii="Century Gothic" w:eastAsia="Century Gothic" w:hAnsi="Century Gothic" w:cs="Century Gothic"/>
          <w:color w:val="000000" w:themeColor="text1"/>
          <w:sz w:val="32"/>
          <w:szCs w:val="32"/>
          <w:highlight w:val="yellow"/>
        </w:rPr>
      </w:pPr>
    </w:p>
    <w:p w14:paraId="00000005" w14:textId="5948503F" w:rsidR="000E087C" w:rsidRPr="00384DB4" w:rsidRDefault="00E437FF" w:rsidP="0990E1B4">
      <w:pPr>
        <w:rPr>
          <w:rFonts w:ascii="Century Gothic" w:eastAsia="Century Gothic" w:hAnsi="Century Gothic" w:cs="Century Gothic"/>
          <w:b/>
          <w:bCs/>
          <w:color w:val="000000"/>
          <w:sz w:val="28"/>
          <w:szCs w:val="28"/>
        </w:rPr>
      </w:pPr>
      <w:r w:rsidRPr="0990E1B4">
        <w:rPr>
          <w:rFonts w:ascii="Century Gothic" w:eastAsia="Century Gothic" w:hAnsi="Century Gothic" w:cs="Century Gothic"/>
          <w:b/>
          <w:bCs/>
          <w:color w:val="000000" w:themeColor="text1"/>
          <w:sz w:val="28"/>
          <w:szCs w:val="28"/>
        </w:rPr>
        <w:t xml:space="preserve">About Southampton Climate Commission </w:t>
      </w:r>
    </w:p>
    <w:p w14:paraId="00000006" w14:textId="621B0171" w:rsidR="000E087C" w:rsidRPr="00384DB4" w:rsidRDefault="00E437FF">
      <w:pPr>
        <w:rPr>
          <w:rFonts w:ascii="Century Gothic" w:eastAsia="Century Gothic" w:hAnsi="Century Gothic" w:cs="Century Gothic"/>
          <w:color w:val="000000"/>
          <w:highlight w:val="white"/>
        </w:rPr>
      </w:pPr>
      <w:r w:rsidRPr="00384DB4">
        <w:rPr>
          <w:rFonts w:ascii="Century Gothic" w:eastAsia="Century Gothic" w:hAnsi="Century Gothic" w:cs="Century Gothic"/>
          <w:color w:val="000000"/>
          <w:highlight w:val="white"/>
        </w:rPr>
        <w:t xml:space="preserve">Informed by the work of the UK Committee on Climate Change, </w:t>
      </w:r>
      <w:r w:rsidRPr="00384DB4">
        <w:rPr>
          <w:rFonts w:ascii="Century Gothic" w:eastAsia="Century Gothic" w:hAnsi="Century Gothic" w:cs="Century Gothic"/>
          <w:color w:val="000000"/>
        </w:rPr>
        <w:t>and other leading organisations in the sector</w:t>
      </w:r>
      <w:r w:rsidRPr="00384DB4">
        <w:rPr>
          <w:rFonts w:ascii="Century Gothic" w:eastAsia="Century Gothic" w:hAnsi="Century Gothic" w:cs="Century Gothic"/>
          <w:color w:val="000000"/>
          <w:highlight w:val="white"/>
        </w:rPr>
        <w:t xml:space="preserve">, the Southampton Climate Commission seeks to be an </w:t>
      </w:r>
      <w:r w:rsidRPr="0990E1B4">
        <w:rPr>
          <w:rFonts w:ascii="Century Gothic" w:eastAsia="Century Gothic" w:hAnsi="Century Gothic" w:cs="Century Gothic"/>
          <w:b/>
          <w:bCs/>
          <w:color w:val="000000"/>
        </w:rPr>
        <w:t>independent</w:t>
      </w:r>
      <w:r w:rsidRPr="00384DB4">
        <w:rPr>
          <w:rFonts w:ascii="Century Gothic" w:eastAsia="Century Gothic" w:hAnsi="Century Gothic" w:cs="Century Gothic"/>
          <w:color w:val="000000"/>
          <w:highlight w:val="white"/>
        </w:rPr>
        <w:t xml:space="preserve"> voice in the city, providing authoritative information on steps towards </w:t>
      </w:r>
      <w:r w:rsidR="005F7A2C" w:rsidRPr="0990E1B4">
        <w:rPr>
          <w:rStyle w:val="normaltextrun"/>
          <w:rFonts w:asciiTheme="minorHAnsi" w:hAnsiTheme="minorHAnsi" w:cstheme="minorBidi"/>
          <w:color w:val="000000"/>
          <w:shd w:val="clear" w:color="auto" w:fill="FFFFFF"/>
        </w:rPr>
        <w:t xml:space="preserve">a zero carbon, climate resilient </w:t>
      </w:r>
      <w:r w:rsidR="00384DB4" w:rsidRPr="0990E1B4">
        <w:rPr>
          <w:rStyle w:val="normaltextrun"/>
          <w:rFonts w:asciiTheme="minorHAnsi" w:hAnsiTheme="minorHAnsi" w:cstheme="minorBidi"/>
          <w:color w:val="000000"/>
          <w:shd w:val="clear" w:color="auto" w:fill="FFFFFF"/>
        </w:rPr>
        <w:t>future to</w:t>
      </w:r>
      <w:r w:rsidR="005F7A2C" w:rsidRPr="0990E1B4">
        <w:rPr>
          <w:rStyle w:val="normaltextrun"/>
          <w:rFonts w:asciiTheme="minorHAnsi" w:hAnsiTheme="minorHAnsi" w:cstheme="minorBidi"/>
          <w:color w:val="000000"/>
          <w:shd w:val="clear" w:color="auto" w:fill="FFFFFF"/>
        </w:rPr>
        <w:t xml:space="preserve"> inform policies and shape the actions of local stakeholders and decision makers</w:t>
      </w:r>
      <w:r w:rsidRPr="00384DB4">
        <w:rPr>
          <w:rFonts w:ascii="Century Gothic" w:eastAsia="Century Gothic" w:hAnsi="Century Gothic" w:cs="Century Gothic"/>
          <w:color w:val="000000"/>
          <w:highlight w:val="white"/>
        </w:rPr>
        <w:t>. It will monitor progress towards meeting the city’s carbon reduction and nature-based targets and recommend actions to keep the city on track and advise on the assessment of the climate-related risks and adaptation opportunities in the city. </w:t>
      </w:r>
    </w:p>
    <w:p w14:paraId="477E2D24" w14:textId="04A2DC72" w:rsidR="0990E1B4" w:rsidRDefault="0990E1B4" w:rsidP="0990E1B4">
      <w:pPr>
        <w:rPr>
          <w:rFonts w:ascii="Century Gothic" w:eastAsia="Century Gothic" w:hAnsi="Century Gothic" w:cs="Century Gothic"/>
          <w:color w:val="000000" w:themeColor="text1"/>
          <w:highlight w:val="white"/>
        </w:rPr>
      </w:pPr>
    </w:p>
    <w:p w14:paraId="00000008" w14:textId="274356BB" w:rsidR="000E087C" w:rsidRPr="00384DB4" w:rsidRDefault="00E437FF" w:rsidP="0990E1B4">
      <w:pPr>
        <w:rPr>
          <w:rFonts w:ascii="Century Gothic" w:eastAsia="Century Gothic" w:hAnsi="Century Gothic" w:cs="Century Gothic"/>
          <w:b/>
          <w:bCs/>
          <w:color w:val="000000"/>
          <w:highlight w:val="white"/>
        </w:rPr>
      </w:pPr>
      <w:r w:rsidRPr="0990E1B4">
        <w:rPr>
          <w:rFonts w:ascii="Century Gothic" w:eastAsia="Century Gothic" w:hAnsi="Century Gothic" w:cs="Century Gothic"/>
          <w:b/>
          <w:bCs/>
          <w:color w:val="000000" w:themeColor="text1"/>
          <w:highlight w:val="white"/>
        </w:rPr>
        <w:t>Our Vision</w:t>
      </w:r>
    </w:p>
    <w:p w14:paraId="00000009" w14:textId="747972F2" w:rsidR="000E087C" w:rsidRPr="00384DB4" w:rsidRDefault="00E437FF">
      <w:pPr>
        <w:rPr>
          <w:rFonts w:ascii="Century Gothic" w:eastAsia="Century Gothic" w:hAnsi="Century Gothic" w:cs="Century Gothic"/>
          <w:color w:val="000000"/>
          <w:highlight w:val="white"/>
        </w:rPr>
      </w:pPr>
      <w:r w:rsidRPr="00384DB4">
        <w:rPr>
          <w:rFonts w:ascii="Century Gothic" w:eastAsia="Century Gothic" w:hAnsi="Century Gothic" w:cs="Century Gothic"/>
          <w:color w:val="000000"/>
          <w:highlight w:val="white"/>
        </w:rPr>
        <w:t xml:space="preserve">Working with partners, stakeholders and the community, the Southampton Climate Commission provides an inclusive, collective approach, in ensuring a just transition </w:t>
      </w:r>
      <w:r w:rsidR="005F7A2C" w:rsidRPr="0990E1B4">
        <w:rPr>
          <w:rStyle w:val="normaltextrun"/>
          <w:rFonts w:asciiTheme="minorHAnsi" w:hAnsiTheme="minorHAnsi" w:cstheme="minorBidi"/>
          <w:color w:val="000000" w:themeColor="text1"/>
          <w:shd w:val="clear" w:color="auto" w:fill="FFFFFF"/>
        </w:rPr>
        <w:t>towards a zero carbon and climate resilient future for everyone in the city</w:t>
      </w:r>
      <w:r w:rsidRPr="00384DB4">
        <w:rPr>
          <w:rFonts w:ascii="Century Gothic" w:eastAsia="Century Gothic" w:hAnsi="Century Gothic" w:cs="Century Gothic"/>
          <w:color w:val="000000"/>
          <w:highlight w:val="white"/>
        </w:rPr>
        <w:t>. </w:t>
      </w:r>
    </w:p>
    <w:p w14:paraId="0ABCBFFB" w14:textId="4F8CD970" w:rsidR="0990E1B4" w:rsidRDefault="0990E1B4" w:rsidP="0990E1B4">
      <w:pPr>
        <w:rPr>
          <w:rFonts w:ascii="Century Gothic" w:eastAsia="Century Gothic" w:hAnsi="Century Gothic" w:cs="Century Gothic"/>
          <w:color w:val="000000" w:themeColor="text1"/>
          <w:highlight w:val="white"/>
        </w:rPr>
      </w:pPr>
    </w:p>
    <w:p w14:paraId="0000000B" w14:textId="09E63364" w:rsidR="000E087C" w:rsidRPr="00384DB4" w:rsidRDefault="00E437FF" w:rsidP="0990E1B4">
      <w:pPr>
        <w:rPr>
          <w:rFonts w:ascii="Century Gothic" w:eastAsia="Century Gothic" w:hAnsi="Century Gothic" w:cs="Century Gothic"/>
          <w:b/>
          <w:bCs/>
          <w:color w:val="000000"/>
          <w:highlight w:val="white"/>
        </w:rPr>
      </w:pPr>
      <w:r w:rsidRPr="0990E1B4">
        <w:rPr>
          <w:rFonts w:ascii="Century Gothic" w:eastAsia="Century Gothic" w:hAnsi="Century Gothic" w:cs="Century Gothic"/>
          <w:b/>
          <w:bCs/>
          <w:color w:val="000000" w:themeColor="text1"/>
          <w:highlight w:val="white"/>
        </w:rPr>
        <w:t>Our Members</w:t>
      </w:r>
    </w:p>
    <w:p w14:paraId="0000000C" w14:textId="77777777" w:rsidR="000E087C" w:rsidRPr="00384DB4" w:rsidRDefault="00E437FF">
      <w:pPr>
        <w:rPr>
          <w:rFonts w:ascii="Century Gothic" w:eastAsia="Century Gothic" w:hAnsi="Century Gothic" w:cs="Century Gothic"/>
          <w:color w:val="000000"/>
          <w:highlight w:val="white"/>
        </w:rPr>
      </w:pPr>
      <w:r w:rsidRPr="00384DB4">
        <w:rPr>
          <w:rFonts w:ascii="Century Gothic" w:eastAsia="Century Gothic" w:hAnsi="Century Gothic" w:cs="Century Gothic"/>
          <w:color w:val="000000"/>
          <w:highlight w:val="white"/>
        </w:rPr>
        <w:t xml:space="preserve">The Commission is comprised of over 20 core members representing key stakeholders across the city, including the hospital, universities, businesses, and community representatives.  </w:t>
      </w:r>
    </w:p>
    <w:p w14:paraId="0000000D" w14:textId="77777777" w:rsidR="000E087C" w:rsidRPr="00384DB4" w:rsidRDefault="000E087C">
      <w:pPr>
        <w:rPr>
          <w:rFonts w:ascii="Century Gothic" w:eastAsia="Century Gothic" w:hAnsi="Century Gothic" w:cs="Century Gothic"/>
          <w:color w:val="000000"/>
          <w:highlight w:val="white"/>
        </w:rPr>
      </w:pPr>
    </w:p>
    <w:p w14:paraId="00000010" w14:textId="77777777" w:rsidR="000E087C" w:rsidRPr="00384DB4" w:rsidRDefault="00E437FF" w:rsidP="0990E1B4">
      <w:pPr>
        <w:pStyle w:val="Heading3"/>
        <w:rPr>
          <w:rFonts w:ascii="Century Gothic" w:eastAsia="Century Gothic" w:hAnsi="Century Gothic" w:cs="Century Gothic"/>
          <w:b/>
          <w:bCs/>
          <w:color w:val="000000"/>
          <w:sz w:val="28"/>
          <w:szCs w:val="28"/>
        </w:rPr>
      </w:pPr>
      <w:r w:rsidRPr="0990E1B4">
        <w:rPr>
          <w:rFonts w:ascii="Century Gothic" w:eastAsia="Century Gothic" w:hAnsi="Century Gothic" w:cs="Century Gothic"/>
          <w:b/>
          <w:bCs/>
          <w:color w:val="000000" w:themeColor="text1"/>
          <w:sz w:val="28"/>
          <w:szCs w:val="28"/>
        </w:rPr>
        <w:t>The Solent Cluster</w:t>
      </w:r>
    </w:p>
    <w:p w14:paraId="3BF82BF1" w14:textId="42E2368D" w:rsidR="002D654E" w:rsidRPr="00384DB4" w:rsidRDefault="00000000">
      <w:pPr>
        <w:rPr>
          <w:rFonts w:ascii="Century Gothic" w:eastAsia="Century Gothic" w:hAnsi="Century Gothic" w:cs="Century Gothic"/>
          <w:color w:val="000000"/>
          <w:highlight w:val="white"/>
        </w:rPr>
      </w:pPr>
      <w:hyperlink r:id="rId13">
        <w:r w:rsidR="00E437FF" w:rsidRPr="00384DB4">
          <w:rPr>
            <w:rFonts w:ascii="Century Gothic" w:eastAsia="Century Gothic" w:hAnsi="Century Gothic" w:cs="Century Gothic"/>
            <w:color w:val="0070C0"/>
            <w:highlight w:val="white"/>
            <w:u w:val="single"/>
          </w:rPr>
          <w:t>The Solent Cluster</w:t>
        </w:r>
      </w:hyperlink>
      <w:r w:rsidR="00E437FF" w:rsidRPr="00384DB4">
        <w:rPr>
          <w:rFonts w:ascii="Century Gothic" w:eastAsia="Century Gothic" w:hAnsi="Century Gothic" w:cs="Century Gothic"/>
          <w:color w:val="000000"/>
          <w:highlight w:val="white"/>
        </w:rPr>
        <w:t xml:space="preserve"> is a collaboration between organisations in the Solent region </w:t>
      </w:r>
      <w:r w:rsidR="0065312E" w:rsidRPr="00384DB4">
        <w:rPr>
          <w:rFonts w:ascii="Century Gothic" w:eastAsia="Century Gothic" w:hAnsi="Century Gothic" w:cs="Century Gothic"/>
          <w:color w:val="000000"/>
          <w:highlight w:val="white"/>
        </w:rPr>
        <w:t xml:space="preserve">with a focus </w:t>
      </w:r>
      <w:r w:rsidR="00E437FF" w:rsidRPr="00384DB4">
        <w:rPr>
          <w:rFonts w:ascii="Century Gothic" w:eastAsia="Century Gothic" w:hAnsi="Century Gothic" w:cs="Century Gothic"/>
          <w:color w:val="000000"/>
          <w:highlight w:val="white"/>
        </w:rPr>
        <w:t>on industrial decarbonisation. The Cluster’s published key aims are to:</w:t>
      </w:r>
    </w:p>
    <w:p w14:paraId="00000011" w14:textId="3F33A971" w:rsidR="000E087C" w:rsidRPr="00384DB4" w:rsidRDefault="00E437FF">
      <w:pPr>
        <w:rPr>
          <w:rFonts w:ascii="Century Gothic" w:eastAsia="Century Gothic" w:hAnsi="Century Gothic" w:cs="Century Gothic"/>
          <w:color w:val="000000"/>
          <w:highlight w:val="white"/>
        </w:rPr>
      </w:pPr>
      <w:r w:rsidRPr="00384DB4">
        <w:rPr>
          <w:rFonts w:ascii="Century Gothic" w:eastAsia="Century Gothic" w:hAnsi="Century Gothic" w:cs="Century Gothic"/>
          <w:color w:val="000000"/>
          <w:highlight w:val="white"/>
        </w:rPr>
        <w:t xml:space="preserve"> </w:t>
      </w:r>
    </w:p>
    <w:p w14:paraId="570879D1" w14:textId="307BA4D6" w:rsidR="002D654E" w:rsidRPr="00384DB4" w:rsidRDefault="00384DB4">
      <w:pPr>
        <w:numPr>
          <w:ilvl w:val="0"/>
          <w:numId w:val="5"/>
        </w:numPr>
        <w:pBdr>
          <w:top w:val="nil"/>
          <w:left w:val="nil"/>
          <w:bottom w:val="nil"/>
          <w:right w:val="nil"/>
          <w:between w:val="nil"/>
        </w:pBdr>
        <w:rPr>
          <w:rFonts w:ascii="Century Gothic" w:eastAsia="Century Gothic" w:hAnsi="Century Gothic" w:cs="Century Gothic"/>
          <w:color w:val="000000"/>
          <w:highlight w:val="white"/>
        </w:rPr>
      </w:pPr>
      <w:r w:rsidRPr="00384DB4">
        <w:rPr>
          <w:rFonts w:ascii="Century Gothic" w:eastAsia="Century Gothic" w:hAnsi="Century Gothic" w:cs="Century Gothic"/>
          <w:color w:val="000000"/>
        </w:rPr>
        <w:t>T</w:t>
      </w:r>
      <w:r w:rsidR="002D654E" w:rsidRPr="00384DB4">
        <w:rPr>
          <w:rFonts w:ascii="Century Gothic" w:eastAsia="Century Gothic" w:hAnsi="Century Gothic" w:cs="Century Gothic"/>
          <w:color w:val="000000"/>
        </w:rPr>
        <w:t>o create new opportunities in low carbon hydrogen production and carbon capture and storage</w:t>
      </w:r>
      <w:r w:rsidR="008401AC" w:rsidRPr="00384DB4">
        <w:rPr>
          <w:rFonts w:ascii="Century Gothic" w:eastAsia="Century Gothic" w:hAnsi="Century Gothic" w:cs="Century Gothic"/>
          <w:color w:val="000000"/>
        </w:rPr>
        <w:t xml:space="preserve"> (CCS).</w:t>
      </w:r>
    </w:p>
    <w:p w14:paraId="00000012" w14:textId="1D9E2545" w:rsidR="000E087C" w:rsidRPr="00384DB4" w:rsidRDefault="00E437FF">
      <w:pPr>
        <w:numPr>
          <w:ilvl w:val="0"/>
          <w:numId w:val="5"/>
        </w:numPr>
        <w:pBdr>
          <w:top w:val="nil"/>
          <w:left w:val="nil"/>
          <w:bottom w:val="nil"/>
          <w:right w:val="nil"/>
          <w:between w:val="nil"/>
        </w:pBdr>
        <w:rPr>
          <w:rFonts w:ascii="Century Gothic" w:eastAsia="Century Gothic" w:hAnsi="Century Gothic" w:cs="Century Gothic"/>
          <w:color w:val="000000"/>
          <w:highlight w:val="white"/>
        </w:rPr>
      </w:pPr>
      <w:r w:rsidRPr="00384DB4">
        <w:rPr>
          <w:rFonts w:ascii="Century Gothic" w:eastAsia="Century Gothic" w:hAnsi="Century Gothic" w:cs="Century Gothic"/>
          <w:color w:val="000000"/>
          <w:highlight w:val="white"/>
        </w:rPr>
        <w:t>Capture, transport and store 20-30 million tonnes of CO2 by 2030 with up to 10 million tonnes annually</w:t>
      </w:r>
    </w:p>
    <w:p w14:paraId="00000013" w14:textId="5F3057BD" w:rsidR="000E087C" w:rsidRPr="00384DB4" w:rsidRDefault="00E437FF">
      <w:pPr>
        <w:numPr>
          <w:ilvl w:val="0"/>
          <w:numId w:val="5"/>
        </w:numPr>
        <w:pBdr>
          <w:top w:val="nil"/>
          <w:left w:val="nil"/>
          <w:bottom w:val="nil"/>
          <w:right w:val="nil"/>
          <w:between w:val="nil"/>
        </w:pBdr>
        <w:rPr>
          <w:rFonts w:ascii="Century Gothic" w:eastAsia="Century Gothic" w:hAnsi="Century Gothic" w:cs="Century Gothic"/>
          <w:color w:val="000000"/>
          <w:highlight w:val="white"/>
        </w:rPr>
      </w:pPr>
      <w:r w:rsidRPr="00384DB4">
        <w:rPr>
          <w:rFonts w:ascii="Century Gothic" w:eastAsia="Century Gothic" w:hAnsi="Century Gothic" w:cs="Century Gothic"/>
          <w:color w:val="000000"/>
          <w:highlight w:val="white"/>
        </w:rPr>
        <w:t>90% reduction in industrial emissions</w:t>
      </w:r>
      <w:r w:rsidR="002D654E" w:rsidRPr="00384DB4">
        <w:rPr>
          <w:rFonts w:ascii="Century Gothic" w:eastAsia="Century Gothic" w:hAnsi="Century Gothic" w:cs="Century Gothic"/>
          <w:color w:val="000000"/>
          <w:highlight w:val="white"/>
        </w:rPr>
        <w:t xml:space="preserve"> based on 2018 levels by 2050</w:t>
      </w:r>
      <w:r w:rsidR="00DC4B6E" w:rsidRPr="00384DB4">
        <w:rPr>
          <w:rFonts w:ascii="Century Gothic" w:eastAsia="Century Gothic" w:hAnsi="Century Gothic" w:cs="Century Gothic"/>
          <w:color w:val="000000"/>
          <w:highlight w:val="white"/>
        </w:rPr>
        <w:t>.</w:t>
      </w:r>
    </w:p>
    <w:p w14:paraId="00000014" w14:textId="18EB4FC8" w:rsidR="000E087C" w:rsidRPr="00384DB4" w:rsidRDefault="000E087C">
      <w:pPr>
        <w:rPr>
          <w:rFonts w:ascii="Century Gothic" w:eastAsia="Century Gothic" w:hAnsi="Century Gothic" w:cs="Century Gothic"/>
          <w:b/>
          <w:color w:val="000000"/>
        </w:rPr>
      </w:pPr>
    </w:p>
    <w:p w14:paraId="7FBF12C3" w14:textId="3028FD8D" w:rsidR="00B41829" w:rsidRPr="00384DB4" w:rsidRDefault="00E437FF">
      <w:pPr>
        <w:spacing w:after="160" w:line="259" w:lineRule="auto"/>
      </w:pPr>
      <w:r>
        <w:br w:type="page"/>
      </w:r>
    </w:p>
    <w:p w14:paraId="43D0A634" w14:textId="741CF6A2" w:rsidR="00B41829" w:rsidRPr="00384DB4" w:rsidRDefault="19CCA8E6" w:rsidP="0990E1B4">
      <w:pPr>
        <w:spacing w:after="160" w:line="259" w:lineRule="auto"/>
        <w:rPr>
          <w:rFonts w:ascii="Century Gothic" w:eastAsia="Century Gothic" w:hAnsi="Century Gothic" w:cs="Century Gothic"/>
          <w:color w:val="000000" w:themeColor="text1"/>
          <w:sz w:val="28"/>
          <w:szCs w:val="28"/>
          <w:highlight w:val="white"/>
        </w:rPr>
      </w:pPr>
      <w:r w:rsidRPr="0990E1B4">
        <w:rPr>
          <w:rFonts w:ascii="Century Gothic" w:eastAsia="Century Gothic" w:hAnsi="Century Gothic" w:cs="Century Gothic"/>
          <w:b/>
          <w:bCs/>
          <w:color w:val="333333"/>
          <w:sz w:val="28"/>
          <w:szCs w:val="28"/>
          <w:highlight w:val="white"/>
        </w:rPr>
        <w:lastRenderedPageBreak/>
        <w:t>Southampton Climate Commission Response</w:t>
      </w:r>
      <w:r w:rsidRPr="0990E1B4">
        <w:rPr>
          <w:rFonts w:ascii="Century Gothic" w:eastAsia="Century Gothic" w:hAnsi="Century Gothic" w:cs="Century Gothic"/>
          <w:color w:val="000000" w:themeColor="text1"/>
          <w:sz w:val="28"/>
          <w:szCs w:val="28"/>
          <w:highlight w:val="white"/>
        </w:rPr>
        <w:t xml:space="preserve"> </w:t>
      </w:r>
    </w:p>
    <w:p w14:paraId="00000017" w14:textId="02303098" w:rsidR="00B41829" w:rsidRPr="00384DB4" w:rsidRDefault="00E437FF" w:rsidP="0990E1B4">
      <w:pPr>
        <w:spacing w:after="160" w:line="259" w:lineRule="auto"/>
        <w:rPr>
          <w:rFonts w:ascii="Century Gothic" w:eastAsia="Century Gothic" w:hAnsi="Century Gothic" w:cs="Century Gothic"/>
          <w:b/>
          <w:bCs/>
          <w:color w:val="333333"/>
          <w:highlight w:val="white"/>
        </w:rPr>
      </w:pPr>
      <w:r w:rsidRPr="00384DB4">
        <w:rPr>
          <w:rFonts w:ascii="Century Gothic" w:eastAsia="Century Gothic" w:hAnsi="Century Gothic" w:cs="Century Gothic"/>
          <w:color w:val="000000"/>
          <w:highlight w:val="white"/>
        </w:rPr>
        <w:t>The Southampton Climate Commission acknowledges the need for regional collaboration to deliver Net Zero, especially for high carbon pollution sectors such as industry, commerce and energy. However, due to their high emissions, the Commission can only support collaborations which are aligned with a rapid transition away from a fossil-fuel economy</w:t>
      </w:r>
      <w:r w:rsidR="008401AC" w:rsidRPr="00384DB4">
        <w:rPr>
          <w:rFonts w:ascii="Century Gothic" w:eastAsia="Century Gothic" w:hAnsi="Century Gothic" w:cs="Century Gothic"/>
          <w:color w:val="000000"/>
          <w:highlight w:val="white"/>
        </w:rPr>
        <w:t xml:space="preserve"> and carbon capture and storage used a</w:t>
      </w:r>
      <w:r w:rsidR="008F7F37" w:rsidRPr="00384DB4">
        <w:rPr>
          <w:rFonts w:ascii="Century Gothic" w:eastAsia="Century Gothic" w:hAnsi="Century Gothic" w:cs="Century Gothic"/>
          <w:color w:val="000000"/>
          <w:highlight w:val="white"/>
        </w:rPr>
        <w:t>s a</w:t>
      </w:r>
      <w:r w:rsidR="008401AC" w:rsidRPr="00384DB4">
        <w:rPr>
          <w:rFonts w:ascii="Century Gothic" w:eastAsia="Century Gothic" w:hAnsi="Century Gothic" w:cs="Century Gothic"/>
          <w:color w:val="000000"/>
          <w:highlight w:val="white"/>
        </w:rPr>
        <w:t xml:space="preserve"> last resort</w:t>
      </w:r>
      <w:r w:rsidRPr="00384DB4">
        <w:rPr>
          <w:rFonts w:ascii="Century Gothic" w:eastAsia="Century Gothic" w:hAnsi="Century Gothic" w:cs="Century Gothic"/>
          <w:color w:val="000000"/>
          <w:highlight w:val="white"/>
        </w:rPr>
        <w:t xml:space="preserve">, in order to keep the planet within 1.5 degrees of warming, with </w:t>
      </w:r>
      <w:r w:rsidRPr="00384DB4">
        <w:rPr>
          <w:rFonts w:ascii="Century Gothic" w:eastAsia="Century Gothic" w:hAnsi="Century Gothic" w:cs="Century Gothic"/>
          <w:color w:val="0070C0"/>
          <w:highlight w:val="white"/>
          <w:u w:val="single"/>
        </w:rPr>
        <w:t>no overshoot period</w:t>
      </w:r>
      <w:r w:rsidR="00B41829" w:rsidRPr="00384DB4">
        <w:rPr>
          <w:rFonts w:ascii="Century Gothic" w:eastAsia="Century Gothic" w:hAnsi="Century Gothic" w:cs="Century Gothic"/>
          <w:color w:val="000000"/>
          <w:highlight w:val="white"/>
          <w:vertAlign w:val="superscript"/>
        </w:rPr>
        <w:endnoteReference w:id="2"/>
      </w:r>
      <w:r w:rsidR="00B41829" w:rsidRPr="00384DB4">
        <w:rPr>
          <w:rFonts w:ascii="Century Gothic" w:eastAsia="Century Gothic" w:hAnsi="Century Gothic" w:cs="Century Gothic"/>
          <w:color w:val="000000"/>
          <w:highlight w:val="white"/>
        </w:rPr>
        <w:t>.</w:t>
      </w:r>
    </w:p>
    <w:p w14:paraId="00000019" w14:textId="66E24CF0" w:rsidR="00B41829" w:rsidRPr="00384DB4" w:rsidRDefault="00B41829">
      <w:pPr>
        <w:rPr>
          <w:rFonts w:ascii="Century Gothic" w:eastAsia="Century Gothic" w:hAnsi="Century Gothic" w:cs="Century Gothic"/>
          <w:color w:val="000000"/>
          <w:highlight w:val="white"/>
        </w:rPr>
      </w:pPr>
      <w:r w:rsidRPr="00384DB4">
        <w:rPr>
          <w:rFonts w:ascii="Century Gothic" w:eastAsia="Century Gothic" w:hAnsi="Century Gothic" w:cs="Century Gothic"/>
          <w:color w:val="000000"/>
          <w:highlight w:val="white"/>
        </w:rPr>
        <w:t>We support the global consensus that the burning of coal, oil and gas must be halted, that fossil fuels must be replaced with renewable energy sources as a priority and that there should b</w:t>
      </w:r>
      <w:r w:rsidRPr="00384DB4">
        <w:rPr>
          <w:rFonts w:ascii="Century Gothic" w:eastAsia="Century Gothic" w:hAnsi="Century Gothic" w:cs="Century Gothic"/>
          <w:highlight w:val="white"/>
        </w:rPr>
        <w:t>e no new oil and gas projects</w:t>
      </w:r>
      <w:r w:rsidRPr="00384DB4">
        <w:rPr>
          <w:rStyle w:val="EndnoteReference"/>
          <w:rFonts w:ascii="Century Gothic" w:eastAsia="Century Gothic" w:hAnsi="Century Gothic" w:cs="Century Gothic"/>
          <w:color w:val="000000"/>
          <w:highlight w:val="white"/>
        </w:rPr>
        <w:endnoteReference w:id="3"/>
      </w:r>
      <w:r w:rsidRPr="00384DB4">
        <w:rPr>
          <w:rFonts w:ascii="Century Gothic" w:eastAsia="Century Gothic" w:hAnsi="Century Gothic" w:cs="Century Gothic"/>
          <w:color w:val="000000"/>
          <w:highlight w:val="white"/>
        </w:rPr>
        <w:t xml:space="preserve">. </w:t>
      </w:r>
    </w:p>
    <w:p w14:paraId="0000001A" w14:textId="77777777" w:rsidR="00B41829" w:rsidRPr="00384DB4" w:rsidRDefault="00B41829">
      <w:pPr>
        <w:rPr>
          <w:rFonts w:ascii="Century Gothic" w:eastAsia="Century Gothic" w:hAnsi="Century Gothic" w:cs="Century Gothic"/>
          <w:color w:val="000000"/>
          <w:highlight w:val="white"/>
        </w:rPr>
      </w:pPr>
    </w:p>
    <w:p w14:paraId="0000001B" w14:textId="77777777" w:rsidR="00B41829" w:rsidRPr="00384DB4" w:rsidRDefault="00B41829">
      <w:pPr>
        <w:rPr>
          <w:rFonts w:ascii="Century Gothic" w:eastAsia="Century Gothic" w:hAnsi="Century Gothic" w:cs="Century Gothic"/>
        </w:rPr>
      </w:pPr>
      <w:r w:rsidRPr="00384DB4">
        <w:rPr>
          <w:rFonts w:ascii="Century Gothic" w:eastAsia="Century Gothic" w:hAnsi="Century Gothic" w:cs="Century Gothic"/>
        </w:rPr>
        <w:t>Given the latest warnings from climate scientists</w:t>
      </w:r>
      <w:r w:rsidRPr="00384DB4">
        <w:rPr>
          <w:rFonts w:ascii="Century Gothic" w:eastAsia="Century Gothic" w:hAnsi="Century Gothic" w:cs="Century Gothic"/>
          <w:vertAlign w:val="superscript"/>
        </w:rPr>
        <w:endnoteReference w:id="4"/>
      </w:r>
      <w:r w:rsidRPr="00384DB4">
        <w:rPr>
          <w:rFonts w:ascii="Century Gothic" w:eastAsia="Century Gothic" w:hAnsi="Century Gothic" w:cs="Century Gothic"/>
        </w:rPr>
        <w:t xml:space="preserve">, it is clear that a combination of rapid decarbonisation combined with an on-going programme of carbon removal will be required to mitigate damaging climate change. </w:t>
      </w:r>
    </w:p>
    <w:p w14:paraId="0000001C" w14:textId="77777777" w:rsidR="00B41829" w:rsidRPr="00384DB4" w:rsidRDefault="00B41829">
      <w:pPr>
        <w:rPr>
          <w:rFonts w:ascii="Century Gothic" w:eastAsia="Century Gothic" w:hAnsi="Century Gothic" w:cs="Century Gothic"/>
          <w:color w:val="000000"/>
          <w:highlight w:val="white"/>
        </w:rPr>
      </w:pPr>
    </w:p>
    <w:sdt>
      <w:sdtPr>
        <w:tag w:val="goog_rdk_2"/>
        <w:id w:val="1688876465"/>
      </w:sdtPr>
      <w:sdtContent>
        <w:p w14:paraId="0000001D" w14:textId="1C712E21" w:rsidR="00B41829" w:rsidRPr="00384DB4" w:rsidRDefault="00B41829">
          <w:pPr>
            <w:rPr>
              <w:rFonts w:ascii="Century Gothic" w:eastAsia="Century Gothic" w:hAnsi="Century Gothic" w:cs="Century Gothic"/>
              <w:color w:val="000000"/>
              <w:highlight w:val="white"/>
            </w:rPr>
          </w:pPr>
          <w:r w:rsidRPr="00384DB4">
            <w:rPr>
              <w:rFonts w:ascii="Century Gothic" w:eastAsia="Century Gothic" w:hAnsi="Century Gothic" w:cs="Century Gothic"/>
              <w:color w:val="000000"/>
              <w:highlight w:val="white"/>
            </w:rPr>
            <w:t xml:space="preserve">The Commission has reviewed a research paper on hydrogen produced by the Southampton Climate Action Network and a presentation by a representative of the Solent Cluster on </w:t>
          </w:r>
          <w:r w:rsidR="00A45DDC">
            <w:rPr>
              <w:rFonts w:ascii="Century Gothic" w:eastAsia="Century Gothic" w:hAnsi="Century Gothic" w:cs="Century Gothic"/>
              <w:color w:val="000000"/>
              <w:highlight w:val="white"/>
            </w:rPr>
            <w:t>low carbon</w:t>
          </w:r>
          <w:r w:rsidRPr="00384DB4">
            <w:rPr>
              <w:rFonts w:ascii="Century Gothic" w:eastAsia="Century Gothic" w:hAnsi="Century Gothic" w:cs="Century Gothic"/>
              <w:color w:val="000000"/>
              <w:highlight w:val="white"/>
            </w:rPr>
            <w:t xml:space="preserve"> hydrogen production in the Solent </w:t>
          </w:r>
          <w:sdt>
            <w:sdtPr>
              <w:tag w:val="goog_rdk_0"/>
              <w:id w:val="1218168283"/>
            </w:sdtPr>
            <w:sdtContent/>
          </w:sdt>
          <w:r w:rsidRPr="00384DB4">
            <w:rPr>
              <w:rFonts w:ascii="Century Gothic" w:eastAsia="Century Gothic" w:hAnsi="Century Gothic" w:cs="Century Gothic"/>
              <w:color w:val="000000"/>
              <w:highlight w:val="white"/>
            </w:rPr>
            <w:t xml:space="preserve">region.  </w:t>
          </w:r>
          <w:sdt>
            <w:sdtPr>
              <w:tag w:val="goog_rdk_1"/>
              <w:id w:val="-823661099"/>
              <w:showingPlcHdr/>
            </w:sdtPr>
            <w:sdtContent>
              <w:r w:rsidRPr="00384DB4">
                <w:t xml:space="preserve">     </w:t>
              </w:r>
            </w:sdtContent>
          </w:sdt>
        </w:p>
      </w:sdtContent>
    </w:sdt>
    <w:p w14:paraId="0000001E" w14:textId="77777777" w:rsidR="00B41829" w:rsidRPr="00384DB4" w:rsidRDefault="00B41829">
      <w:pPr>
        <w:rPr>
          <w:rFonts w:ascii="Century Gothic" w:eastAsia="Century Gothic" w:hAnsi="Century Gothic" w:cs="Century Gothic"/>
          <w:color w:val="000000"/>
          <w:highlight w:val="white"/>
        </w:rPr>
      </w:pPr>
    </w:p>
    <w:p w14:paraId="2F465F5B" w14:textId="37684EDC" w:rsidR="00B41829" w:rsidRPr="00384DB4" w:rsidRDefault="00B41829" w:rsidP="0BB57B58">
      <w:pPr>
        <w:rPr>
          <w:rFonts w:ascii="Century Gothic" w:eastAsia="Century Gothic" w:hAnsi="Century Gothic" w:cs="Century Gothic"/>
        </w:rPr>
      </w:pPr>
      <w:r w:rsidRPr="00384DB4">
        <w:rPr>
          <w:rFonts w:ascii="Century Gothic" w:eastAsia="Century Gothic" w:hAnsi="Century Gothic" w:cs="Century Gothic"/>
        </w:rPr>
        <w:t>Currently hydrogen production produces the same amount of carbon emissions, if not more, emissions than fossil fuel production so is reliant on CCS to be low carbon. Zero carbon hydrogen means that renewable fuel sources have been used for production.</w:t>
      </w:r>
      <w:r w:rsidRPr="00384DB4">
        <w:rPr>
          <w:rStyle w:val="EndnoteReference"/>
          <w:rFonts w:ascii="Century Gothic" w:eastAsia="Century Gothic" w:hAnsi="Century Gothic" w:cs="Century Gothic"/>
        </w:rPr>
        <w:endnoteReference w:id="5"/>
      </w:r>
    </w:p>
    <w:p w14:paraId="3E4FBE65" w14:textId="77777777" w:rsidR="00B41829" w:rsidRPr="00384DB4" w:rsidRDefault="00B41829">
      <w:pPr>
        <w:rPr>
          <w:rFonts w:ascii="Century Gothic" w:eastAsia="Century Gothic" w:hAnsi="Century Gothic" w:cs="Century Gothic"/>
        </w:rPr>
      </w:pPr>
    </w:p>
    <w:p w14:paraId="0000001F" w14:textId="5664CF32" w:rsidR="00B41829" w:rsidRPr="00384DB4" w:rsidRDefault="00B41829">
      <w:pPr>
        <w:rPr>
          <w:rFonts w:ascii="Century Gothic" w:eastAsia="Century Gothic" w:hAnsi="Century Gothic" w:cs="Century Gothic"/>
        </w:rPr>
      </w:pPr>
      <w:r w:rsidRPr="0990E1B4">
        <w:rPr>
          <w:rFonts w:ascii="Century Gothic" w:eastAsia="Century Gothic" w:hAnsi="Century Gothic" w:cs="Century Gothic"/>
        </w:rPr>
        <w:t>The Commission considers that the following points highlight the current limitations of CCS and the risks associated with delivering a successful scheme at the scale required to be net zero:</w:t>
      </w:r>
    </w:p>
    <w:p w14:paraId="2311A8A3" w14:textId="77777777" w:rsidR="00B41829" w:rsidRPr="00384DB4" w:rsidRDefault="00B41829">
      <w:pPr>
        <w:rPr>
          <w:rFonts w:ascii="Century Gothic" w:eastAsia="Century Gothic" w:hAnsi="Century Gothic" w:cs="Century Gothic"/>
          <w:color w:val="000000"/>
          <w:highlight w:val="white"/>
        </w:rPr>
      </w:pPr>
    </w:p>
    <w:p w14:paraId="5E7F8130" w14:textId="6E940BB5" w:rsidR="00A45DDC" w:rsidRPr="00A45DDC" w:rsidRDefault="00B41829" w:rsidP="00A45DDC">
      <w:pPr>
        <w:rPr>
          <w:rFonts w:ascii="Century Gothic" w:eastAsia="Century Gothic" w:hAnsi="Century Gothic" w:cs="Century Gothic"/>
          <w:color w:val="000000"/>
        </w:rPr>
      </w:pPr>
      <w:r w:rsidRPr="00384DB4">
        <w:rPr>
          <w:rFonts w:ascii="Century Gothic" w:eastAsia="Century Gothic" w:hAnsi="Century Gothic" w:cs="Century Gothic"/>
          <w:u w:val="single"/>
        </w:rPr>
        <w:t xml:space="preserve">Hydrogen </w:t>
      </w:r>
      <w:r w:rsidR="00A45DDC" w:rsidRPr="00384DB4">
        <w:rPr>
          <w:rFonts w:ascii="Century Gothic" w:eastAsia="Century Gothic" w:hAnsi="Century Gothic" w:cs="Century Gothic"/>
          <w:u w:val="single"/>
        </w:rPr>
        <w:t xml:space="preserve">production </w:t>
      </w:r>
      <w:r w:rsidR="00A45DDC">
        <w:rPr>
          <w:rFonts w:ascii="Century Gothic" w:eastAsia="Century Gothic" w:hAnsi="Century Gothic" w:cs="Century Gothic"/>
          <w:u w:val="single"/>
        </w:rPr>
        <w:t xml:space="preserve">– Low carbon </w:t>
      </w:r>
    </w:p>
    <w:p w14:paraId="58C4EB35" w14:textId="7D7905F8" w:rsidR="00A45DDC" w:rsidRPr="00A45DDC" w:rsidRDefault="43455BB3" w:rsidP="00A45DDC">
      <w:pPr>
        <w:pStyle w:val="ListParagraph"/>
        <w:numPr>
          <w:ilvl w:val="0"/>
          <w:numId w:val="1"/>
        </w:numPr>
        <w:rPr>
          <w:rFonts w:ascii="Century Gothic" w:eastAsia="Century Gothic" w:hAnsi="Century Gothic" w:cs="Century Gothic"/>
          <w:color w:val="000000"/>
        </w:rPr>
      </w:pPr>
      <w:r w:rsidRPr="0990E1B4">
        <w:rPr>
          <w:rFonts w:asciiTheme="minorHAnsi" w:eastAsiaTheme="minorEastAsia" w:hAnsiTheme="minorHAnsi" w:cstheme="minorBidi"/>
        </w:rPr>
        <w:t>Hydrogen is currently produced using fossil fuels and CCS attempts to reduce the carbon emissions from this process</w:t>
      </w:r>
      <w:r w:rsidR="00A45DDC" w:rsidRPr="0990E1B4">
        <w:rPr>
          <w:rFonts w:asciiTheme="minorHAnsi" w:eastAsiaTheme="minorEastAsia" w:hAnsiTheme="minorHAnsi" w:cstheme="minorBidi"/>
        </w:rPr>
        <w:t>. T</w:t>
      </w:r>
      <w:r w:rsidR="00A45DDC" w:rsidRPr="00A45DDC">
        <w:rPr>
          <w:rFonts w:ascii="Century Gothic" w:eastAsia="Century Gothic" w:hAnsi="Century Gothic" w:cs="Century Gothic"/>
        </w:rPr>
        <w:t xml:space="preserve">he </w:t>
      </w:r>
      <w:hyperlink r:id="rId14">
        <w:r w:rsidR="00A45DDC" w:rsidRPr="00A45DDC">
          <w:rPr>
            <w:rFonts w:ascii="Century Gothic" w:eastAsia="Century Gothic" w:hAnsi="Century Gothic" w:cs="Century Gothic"/>
          </w:rPr>
          <w:t xml:space="preserve">Clean Hydrogen </w:t>
        </w:r>
      </w:hyperlink>
      <w:hyperlink r:id="rId15">
        <w:r w:rsidR="00A45DDC" w:rsidRPr="00A45DDC">
          <w:rPr>
            <w:rFonts w:ascii="Century Gothic" w:eastAsia="Century Gothic" w:hAnsi="Century Gothic" w:cs="Century Gothic"/>
          </w:rPr>
          <w:t>D</w:t>
        </w:r>
      </w:hyperlink>
      <w:hyperlink r:id="rId16">
        <w:r w:rsidR="00A45DDC" w:rsidRPr="00A45DDC">
          <w:rPr>
            <w:rFonts w:ascii="Century Gothic" w:eastAsia="Century Gothic" w:hAnsi="Century Gothic" w:cs="Century Gothic"/>
          </w:rPr>
          <w:t>efinition</w:t>
        </w:r>
      </w:hyperlink>
      <w:r w:rsidR="00A45DDC" w:rsidRPr="00384DB4">
        <w:rPr>
          <w:rStyle w:val="EndnoteReference"/>
          <w:rFonts w:ascii="Century Gothic" w:eastAsia="Century Gothic" w:hAnsi="Century Gothic" w:cs="Century Gothic"/>
        </w:rPr>
        <w:endnoteReference w:id="6"/>
      </w:r>
      <w:r w:rsidR="00A45DDC" w:rsidRPr="00A45DDC">
        <w:rPr>
          <w:rFonts w:ascii="Century Gothic" w:eastAsia="Century Gothic" w:hAnsi="Century Gothic" w:cs="Century Gothic"/>
        </w:rPr>
        <w:t xml:space="preserve"> produced by the independent Hydrogen Science Coalition requires hydrogen manufacturers to meet a rigorous standard for net zero.</w:t>
      </w:r>
      <w:r w:rsidR="00A45DDC" w:rsidRPr="00A45DDC">
        <w:rPr>
          <w:rFonts w:ascii="Century Gothic" w:eastAsia="Century Gothic" w:hAnsi="Century Gothic" w:cs="Century Gothic"/>
          <w:color w:val="000000" w:themeColor="text1"/>
        </w:rPr>
        <w:t xml:space="preserve"> Currently the only known method of producing zero carbon hydrogen is through electrolysis and this is not yet available at scale.</w:t>
      </w:r>
    </w:p>
    <w:p w14:paraId="4F81950C" w14:textId="7F26E53C" w:rsidR="00A45DDC" w:rsidRPr="00A45DDC" w:rsidRDefault="00B41829" w:rsidP="00242E65">
      <w:pPr>
        <w:pStyle w:val="ListParagraph"/>
        <w:numPr>
          <w:ilvl w:val="0"/>
          <w:numId w:val="1"/>
        </w:numPr>
        <w:rPr>
          <w:rFonts w:ascii="Century Gothic" w:eastAsia="Century Gothic" w:hAnsi="Century Gothic" w:cs="Century Gothic"/>
          <w:color w:val="000000"/>
        </w:rPr>
      </w:pPr>
      <w:r w:rsidRPr="00A45DDC">
        <w:rPr>
          <w:rFonts w:ascii="Century Gothic" w:eastAsia="Century Gothic" w:hAnsi="Century Gothic" w:cs="Century Gothic"/>
          <w:color w:val="000000" w:themeColor="text1"/>
        </w:rPr>
        <w:t xml:space="preserve">The technology for CCS is not </w:t>
      </w:r>
      <w:r w:rsidR="00C20946" w:rsidRPr="00A45DDC">
        <w:rPr>
          <w:rFonts w:ascii="Century Gothic" w:eastAsia="Century Gothic" w:hAnsi="Century Gothic" w:cs="Century Gothic"/>
          <w:color w:val="000000" w:themeColor="text1"/>
        </w:rPr>
        <w:t>yet</w:t>
      </w:r>
      <w:r w:rsidRPr="00A45DDC">
        <w:rPr>
          <w:rFonts w:ascii="Century Gothic" w:eastAsia="Century Gothic" w:hAnsi="Century Gothic" w:cs="Century Gothic"/>
          <w:color w:val="000000" w:themeColor="text1"/>
        </w:rPr>
        <w:t xml:space="preserve"> deployed at a large enough scale required to make a significant contribution to reducing emissions so cannot be relied on in the short term</w:t>
      </w:r>
      <w:r w:rsidRPr="00384DB4">
        <w:rPr>
          <w:rStyle w:val="EndnoteReference"/>
          <w:rFonts w:ascii="Century Gothic" w:eastAsia="Century Gothic" w:hAnsi="Century Gothic" w:cs="Century Gothic"/>
          <w:color w:val="000000"/>
        </w:rPr>
        <w:endnoteReference w:id="7"/>
      </w:r>
      <w:r w:rsidRPr="00A45DDC">
        <w:rPr>
          <w:rFonts w:ascii="Century Gothic" w:eastAsia="Century Gothic" w:hAnsi="Century Gothic" w:cs="Century Gothic"/>
          <w:color w:val="000000" w:themeColor="text1"/>
        </w:rPr>
        <w:t>.</w:t>
      </w:r>
      <w:r w:rsidR="00C20946" w:rsidRPr="00A45DDC">
        <w:rPr>
          <w:rFonts w:ascii="Century Gothic" w:eastAsia="Century Gothic" w:hAnsi="Century Gothic" w:cs="Century Gothic"/>
          <w:color w:val="000000" w:themeColor="text1"/>
        </w:rPr>
        <w:t xml:space="preserve"> </w:t>
      </w:r>
    </w:p>
    <w:p w14:paraId="2FFD7AAE" w14:textId="05AF1EB9" w:rsidR="0990E1B4" w:rsidRPr="00242E65" w:rsidRDefault="00E97A38" w:rsidP="0990E1B4">
      <w:pPr>
        <w:numPr>
          <w:ilvl w:val="0"/>
          <w:numId w:val="1"/>
        </w:numPr>
        <w:pBdr>
          <w:top w:val="nil"/>
          <w:left w:val="nil"/>
          <w:bottom w:val="nil"/>
          <w:right w:val="nil"/>
          <w:between w:val="nil"/>
        </w:pBdr>
        <w:rPr>
          <w:rFonts w:ascii="Century Gothic" w:eastAsia="Century Gothic" w:hAnsi="Century Gothic" w:cs="Century Gothic"/>
        </w:rPr>
      </w:pPr>
      <w:r w:rsidRPr="00384DB4">
        <w:rPr>
          <w:rFonts w:ascii="Century Gothic" w:eastAsia="Century Gothic" w:hAnsi="Century Gothic" w:cs="Century Gothic"/>
        </w:rPr>
        <w:t>The National Infrastructure Commission recommends that the government should not support the rollout of hydrogen for domestic heating</w:t>
      </w:r>
      <w:r w:rsidRPr="00384DB4">
        <w:rPr>
          <w:rStyle w:val="EndnoteReference"/>
          <w:rFonts w:ascii="Century Gothic" w:eastAsia="Century Gothic" w:hAnsi="Century Gothic" w:cs="Century Gothic"/>
        </w:rPr>
        <w:endnoteReference w:id="8"/>
      </w:r>
      <w:r w:rsidRPr="00384DB4">
        <w:rPr>
          <w:rFonts w:ascii="Century Gothic" w:eastAsia="Century Gothic" w:hAnsi="Century Gothic" w:cs="Century Gothic"/>
        </w:rPr>
        <w:t xml:space="preserve">, which is one of the objectives of </w:t>
      </w:r>
      <w:hyperlink r:id="rId17">
        <w:r w:rsidRPr="00384DB4">
          <w:rPr>
            <w:rFonts w:ascii="Century Gothic" w:eastAsia="Century Gothic" w:hAnsi="Century Gothic" w:cs="Century Gothic"/>
          </w:rPr>
          <w:t>the Solent Cluster</w:t>
        </w:r>
      </w:hyperlink>
      <w:r w:rsidRPr="00384DB4">
        <w:rPr>
          <w:rStyle w:val="EndnoteReference"/>
          <w:rFonts w:ascii="Century Gothic" w:eastAsia="Century Gothic" w:hAnsi="Century Gothic" w:cs="Century Gothic"/>
        </w:rPr>
        <w:endnoteReference w:id="9"/>
      </w:r>
      <w:r w:rsidRPr="00384DB4">
        <w:rPr>
          <w:rFonts w:ascii="Century Gothic" w:eastAsia="Century Gothic" w:hAnsi="Century Gothic" w:cs="Century Gothic"/>
        </w:rPr>
        <w:t>.</w:t>
      </w:r>
    </w:p>
    <w:p w14:paraId="0E1EB827" w14:textId="46F4F26E" w:rsidR="0990E1B4" w:rsidRDefault="0990E1B4" w:rsidP="0990E1B4">
      <w:pPr>
        <w:rPr>
          <w:rFonts w:ascii="Century Gothic" w:eastAsia="Century Gothic" w:hAnsi="Century Gothic" w:cs="Century Gothic"/>
          <w:color w:val="000000" w:themeColor="text1"/>
          <w:u w:val="single"/>
        </w:rPr>
      </w:pPr>
    </w:p>
    <w:p w14:paraId="556CA65B" w14:textId="3FD548E1" w:rsidR="00B41829" w:rsidRPr="00AA55EF" w:rsidRDefault="00B41829" w:rsidP="00AA55EF">
      <w:pPr>
        <w:rPr>
          <w:rFonts w:ascii="Century Gothic" w:eastAsia="Century Gothic" w:hAnsi="Century Gothic" w:cs="Century Gothic"/>
          <w:color w:val="000000"/>
          <w:u w:val="single"/>
        </w:rPr>
      </w:pPr>
      <w:r w:rsidRPr="00B41829">
        <w:rPr>
          <w:rFonts w:ascii="Century Gothic" w:eastAsia="Century Gothic" w:hAnsi="Century Gothic" w:cs="Century Gothic"/>
          <w:color w:val="000000"/>
          <w:u w:val="single"/>
        </w:rPr>
        <w:t xml:space="preserve">Hydrogen </w:t>
      </w:r>
      <w:r w:rsidR="00A45DDC" w:rsidRPr="00B41829">
        <w:rPr>
          <w:rFonts w:ascii="Century Gothic" w:eastAsia="Century Gothic" w:hAnsi="Century Gothic" w:cs="Century Gothic"/>
          <w:color w:val="000000"/>
          <w:u w:val="single"/>
        </w:rPr>
        <w:t>production</w:t>
      </w:r>
      <w:r w:rsidR="00A45DDC">
        <w:rPr>
          <w:rFonts w:ascii="Century Gothic" w:eastAsia="Century Gothic" w:hAnsi="Century Gothic" w:cs="Century Gothic"/>
          <w:color w:val="000000"/>
          <w:u w:val="single"/>
        </w:rPr>
        <w:t xml:space="preserve"> </w:t>
      </w:r>
      <w:r w:rsidR="00A45DDC" w:rsidRPr="00B41829">
        <w:rPr>
          <w:rFonts w:ascii="Century Gothic" w:eastAsia="Century Gothic" w:hAnsi="Century Gothic" w:cs="Century Gothic"/>
          <w:color w:val="000000"/>
          <w:u w:val="single"/>
        </w:rPr>
        <w:t>–</w:t>
      </w:r>
      <w:r w:rsidRPr="00B41829">
        <w:rPr>
          <w:rFonts w:ascii="Century Gothic" w:eastAsia="Century Gothic" w:hAnsi="Century Gothic" w:cs="Century Gothic"/>
          <w:color w:val="000000"/>
          <w:u w:val="single"/>
        </w:rPr>
        <w:t xml:space="preserve"> Viability</w:t>
      </w:r>
    </w:p>
    <w:p w14:paraId="2BB9AC8C" w14:textId="11878FF2" w:rsidR="00C20946" w:rsidRDefault="00C20946" w:rsidP="00C20946">
      <w:pPr>
        <w:numPr>
          <w:ilvl w:val="0"/>
          <w:numId w:val="1"/>
        </w:numPr>
        <w:rPr>
          <w:rFonts w:ascii="Century Gothic" w:eastAsia="Century Gothic" w:hAnsi="Century Gothic" w:cs="Century Gothic"/>
          <w:color w:val="000000"/>
        </w:rPr>
      </w:pPr>
      <w:r w:rsidRPr="00384DB4">
        <w:rPr>
          <w:rFonts w:ascii="Century Gothic" w:eastAsia="Century Gothic" w:hAnsi="Century Gothic" w:cs="Century Gothic"/>
          <w:color w:val="000000"/>
          <w:highlight w:val="white"/>
        </w:rPr>
        <w:t>Hydrogen production in the Solent is not likely to commence until 203</w:t>
      </w:r>
      <w:r w:rsidR="00B91AB2">
        <w:rPr>
          <w:rFonts w:ascii="Century Gothic" w:eastAsia="Century Gothic" w:hAnsi="Century Gothic" w:cs="Century Gothic"/>
          <w:color w:val="000000"/>
          <w:highlight w:val="white"/>
        </w:rPr>
        <w:t>2</w:t>
      </w:r>
      <w:r w:rsidRPr="00384DB4">
        <w:rPr>
          <w:rFonts w:ascii="Century Gothic" w:eastAsia="Century Gothic" w:hAnsi="Century Gothic" w:cs="Century Gothic"/>
          <w:color w:val="333333"/>
          <w:highlight w:val="white"/>
        </w:rPr>
        <w:t xml:space="preserve"> </w:t>
      </w:r>
      <w:r w:rsidRPr="00B41829">
        <w:rPr>
          <w:rFonts w:ascii="Century Gothic" w:eastAsia="Century Gothic" w:hAnsi="Century Gothic" w:cs="Century Gothic"/>
          <w:highlight w:val="white"/>
        </w:rPr>
        <w:t>at the earliest</w:t>
      </w:r>
      <w:r>
        <w:rPr>
          <w:rStyle w:val="EndnoteReference"/>
          <w:rFonts w:ascii="Century Gothic" w:eastAsia="Century Gothic" w:hAnsi="Century Gothic" w:cs="Century Gothic"/>
          <w:color w:val="1155CC"/>
          <w:highlight w:val="white"/>
          <w:u w:val="single"/>
        </w:rPr>
        <w:endnoteReference w:id="10"/>
      </w:r>
      <w:r w:rsidRPr="00384DB4">
        <w:rPr>
          <w:rFonts w:ascii="Century Gothic" w:eastAsia="Century Gothic" w:hAnsi="Century Gothic" w:cs="Century Gothic"/>
          <w:color w:val="333333"/>
          <w:highlight w:val="white"/>
        </w:rPr>
        <w:t xml:space="preserve">, </w:t>
      </w:r>
      <w:r w:rsidRPr="00384DB4">
        <w:rPr>
          <w:rFonts w:ascii="Century Gothic" w:eastAsia="Century Gothic" w:hAnsi="Century Gothic" w:cs="Century Gothic"/>
          <w:color w:val="000000"/>
          <w:highlight w:val="white"/>
        </w:rPr>
        <w:t xml:space="preserve">so any emissions reductions will not be achieved for another </w:t>
      </w:r>
      <w:r w:rsidR="00B91AB2">
        <w:rPr>
          <w:rFonts w:ascii="Century Gothic" w:eastAsia="Century Gothic" w:hAnsi="Century Gothic" w:cs="Century Gothic"/>
          <w:color w:val="000000"/>
          <w:highlight w:val="white"/>
        </w:rPr>
        <w:t>9</w:t>
      </w:r>
      <w:r w:rsidRPr="00384DB4">
        <w:rPr>
          <w:rFonts w:ascii="Century Gothic" w:eastAsia="Century Gothic" w:hAnsi="Century Gothic" w:cs="Century Gothic"/>
          <w:color w:val="000000"/>
          <w:highlight w:val="white"/>
        </w:rPr>
        <w:t xml:space="preserve"> years. That is time and money that could be used to increase renewable energy production. </w:t>
      </w:r>
    </w:p>
    <w:p w14:paraId="02CD7644" w14:textId="50DD10F1" w:rsidR="00C20946" w:rsidRPr="00AA55EF" w:rsidRDefault="5D4044D3" w:rsidP="00C20946">
      <w:pPr>
        <w:numPr>
          <w:ilvl w:val="0"/>
          <w:numId w:val="1"/>
        </w:numPr>
        <w:rPr>
          <w:rStyle w:val="eop"/>
          <w:rFonts w:ascii="Century Gothic" w:eastAsia="Century Gothic" w:hAnsi="Century Gothic" w:cs="Century Gothic"/>
          <w:color w:val="000000"/>
        </w:rPr>
      </w:pPr>
      <w:r w:rsidRPr="00553D48">
        <w:rPr>
          <w:rFonts w:ascii="Century Gothic" w:eastAsia="Century Gothic" w:hAnsi="Century Gothic" w:cs="Century Gothic"/>
          <w:color w:val="000000" w:themeColor="text1"/>
        </w:rPr>
        <w:lastRenderedPageBreak/>
        <w:t xml:space="preserve">The amount of carbon projected to be captured and stored by the Solent Cluster is 3-10million tonnes per year. However, a </w:t>
      </w:r>
      <w:hyperlink r:id="rId18">
        <w:r w:rsidRPr="00553D48">
          <w:rPr>
            <w:rStyle w:val="Hyperlink"/>
            <w:rFonts w:ascii="Century Gothic" w:eastAsia="Century Gothic" w:hAnsi="Century Gothic" w:cs="Century Gothic"/>
            <w:color w:val="1155CC"/>
          </w:rPr>
          <w:t>2021 feasibility study</w:t>
        </w:r>
      </w:hyperlink>
      <w:r w:rsidRPr="00553D48">
        <w:rPr>
          <w:rFonts w:ascii="Century Gothic" w:eastAsia="Century Gothic" w:hAnsi="Century Gothic" w:cs="Century Gothic"/>
          <w:color w:val="333333"/>
        </w:rPr>
        <w:t xml:space="preserve"> </w:t>
      </w:r>
      <w:r w:rsidRPr="00553D48">
        <w:rPr>
          <w:rFonts w:ascii="Century Gothic" w:eastAsia="Century Gothic" w:hAnsi="Century Gothic" w:cs="Century Gothic"/>
          <w:color w:val="000000" w:themeColor="text1"/>
        </w:rPr>
        <w:t>by ExxonMobil showed that only 2m tonnes could be captured per year.</w:t>
      </w:r>
      <w:r w:rsidRPr="0990E1B4">
        <w:rPr>
          <w:rFonts w:ascii="Century Gothic" w:eastAsia="Century Gothic" w:hAnsi="Century Gothic" w:cs="Century Gothic"/>
          <w:color w:val="000000" w:themeColor="text1"/>
        </w:rPr>
        <w:t xml:space="preserve"> </w:t>
      </w:r>
      <w:r w:rsidRPr="0990E1B4">
        <w:rPr>
          <w:rFonts w:ascii="Century Gothic" w:eastAsia="Century Gothic" w:hAnsi="Century Gothic" w:cs="Century Gothic"/>
        </w:rPr>
        <w:t xml:space="preserve"> </w:t>
      </w:r>
      <w:r w:rsidR="006766DF">
        <w:rPr>
          <w:rStyle w:val="normaltextrun"/>
          <w:rFonts w:ascii="Century Gothic" w:hAnsi="Century Gothic"/>
          <w:color w:val="333333"/>
          <w:shd w:val="clear" w:color="auto" w:fill="FFFFFF"/>
        </w:rPr>
        <w:t xml:space="preserve">The </w:t>
      </w:r>
      <w:r w:rsidR="00C20946" w:rsidRPr="00384DB4">
        <w:rPr>
          <w:rStyle w:val="normaltextrun"/>
          <w:rFonts w:ascii="Century Gothic" w:hAnsi="Century Gothic"/>
          <w:color w:val="333333"/>
          <w:shd w:val="clear" w:color="auto" w:fill="FFFFFF"/>
        </w:rPr>
        <w:t xml:space="preserve">Chevron’s Gorgon project in Australia </w:t>
      </w:r>
      <w:r w:rsidR="006766DF">
        <w:rPr>
          <w:rStyle w:val="normaltextrun"/>
          <w:rFonts w:ascii="Century Gothic" w:hAnsi="Century Gothic"/>
          <w:color w:val="333333"/>
          <w:shd w:val="clear" w:color="auto" w:fill="FFFFFF"/>
        </w:rPr>
        <w:t xml:space="preserve">has seen a decline in carbon stored and </w:t>
      </w:r>
      <w:r w:rsidR="00C20946" w:rsidRPr="00384DB4">
        <w:rPr>
          <w:rStyle w:val="normaltextrun"/>
          <w:rFonts w:ascii="Century Gothic" w:hAnsi="Century Gothic"/>
          <w:color w:val="333333"/>
          <w:shd w:val="clear" w:color="auto" w:fill="FFFFFF"/>
        </w:rPr>
        <w:t xml:space="preserve">only managed to </w:t>
      </w:r>
      <w:r w:rsidR="006766DF">
        <w:rPr>
          <w:rStyle w:val="normaltextrun"/>
          <w:rFonts w:ascii="Century Gothic" w:hAnsi="Century Gothic"/>
          <w:color w:val="333333"/>
          <w:shd w:val="clear" w:color="auto" w:fill="FFFFFF"/>
        </w:rPr>
        <w:t>store</w:t>
      </w:r>
      <w:r w:rsidR="00C20946" w:rsidRPr="00384DB4">
        <w:rPr>
          <w:rStyle w:val="normaltextrun"/>
          <w:rFonts w:ascii="Century Gothic" w:hAnsi="Century Gothic"/>
          <w:color w:val="333333"/>
          <w:shd w:val="clear" w:color="auto" w:fill="FFFFFF"/>
        </w:rPr>
        <w:t xml:space="preserve"> 1.6m tonnes </w:t>
      </w:r>
      <w:r w:rsidR="006766DF">
        <w:rPr>
          <w:rStyle w:val="normaltextrun"/>
          <w:rFonts w:ascii="Century Gothic" w:hAnsi="Century Gothic"/>
          <w:color w:val="333333"/>
          <w:shd w:val="clear" w:color="auto" w:fill="FFFFFF"/>
        </w:rPr>
        <w:t>in 2022</w:t>
      </w:r>
      <w:r w:rsidR="00A45DDC">
        <w:rPr>
          <w:rStyle w:val="normaltextrun"/>
          <w:rFonts w:ascii="Century Gothic" w:hAnsi="Century Gothic"/>
          <w:color w:val="333333"/>
          <w:shd w:val="clear" w:color="auto" w:fill="FFFFFF"/>
        </w:rPr>
        <w:t xml:space="preserve"> due to physical challenges at the site</w:t>
      </w:r>
      <w:r w:rsidR="00C20946">
        <w:rPr>
          <w:rStyle w:val="EndnoteReference"/>
          <w:rFonts w:ascii="Century Gothic" w:hAnsi="Century Gothic"/>
          <w:color w:val="333333"/>
          <w:shd w:val="clear" w:color="auto" w:fill="FFFFFF"/>
        </w:rPr>
        <w:endnoteReference w:id="11"/>
      </w:r>
      <w:r w:rsidR="00C20946" w:rsidRPr="00384DB4">
        <w:rPr>
          <w:rStyle w:val="normaltextrun"/>
          <w:rFonts w:ascii="Century Gothic" w:hAnsi="Century Gothic"/>
          <w:color w:val="333333"/>
          <w:shd w:val="clear" w:color="auto" w:fill="FFFFFF"/>
        </w:rPr>
        <w:t>. </w:t>
      </w:r>
      <w:r w:rsidR="00C20946" w:rsidRPr="00384DB4">
        <w:rPr>
          <w:rStyle w:val="eop"/>
          <w:rFonts w:ascii="Century Gothic" w:hAnsi="Century Gothic"/>
          <w:color w:val="333333"/>
        </w:rPr>
        <w:t> </w:t>
      </w:r>
    </w:p>
    <w:p w14:paraId="5CBE39F8" w14:textId="56805DA2" w:rsidR="00B41829" w:rsidRPr="00384DB4" w:rsidRDefault="00B41829" w:rsidP="00495DA8">
      <w:pPr>
        <w:numPr>
          <w:ilvl w:val="0"/>
          <w:numId w:val="1"/>
        </w:numPr>
        <w:rPr>
          <w:rFonts w:ascii="Century Gothic" w:eastAsia="Century Gothic" w:hAnsi="Century Gothic" w:cs="Century Gothic"/>
          <w:color w:val="000000"/>
        </w:rPr>
      </w:pPr>
      <w:r w:rsidRPr="00384DB4">
        <w:rPr>
          <w:rFonts w:ascii="Century Gothic" w:eastAsia="Century Gothic" w:hAnsi="Century Gothic" w:cs="Century Gothic"/>
          <w:color w:val="000000"/>
        </w:rPr>
        <w:t>A</w:t>
      </w:r>
      <w:r>
        <w:rPr>
          <w:rFonts w:ascii="Century Gothic" w:eastAsia="Century Gothic" w:hAnsi="Century Gothic" w:cs="Century Gothic"/>
          <w:color w:val="000000"/>
        </w:rPr>
        <w:t xml:space="preserve"> study </w:t>
      </w:r>
      <w:r w:rsidRPr="00384DB4">
        <w:rPr>
          <w:rFonts w:ascii="Century Gothic" w:eastAsia="Century Gothic" w:hAnsi="Century Gothic" w:cs="Century Gothic"/>
          <w:color w:val="000000"/>
        </w:rPr>
        <w:t>into Norway’s CCS projects</w:t>
      </w:r>
      <w:r w:rsidR="00A45DDC">
        <w:rPr>
          <w:rFonts w:ascii="Century Gothic" w:eastAsia="Century Gothic" w:hAnsi="Century Gothic" w:cs="Century Gothic"/>
          <w:color w:val="000000"/>
        </w:rPr>
        <w:t xml:space="preserve"> under the sea bed</w:t>
      </w:r>
      <w:r w:rsidRPr="00384DB4">
        <w:rPr>
          <w:rFonts w:ascii="Century Gothic" w:eastAsia="Century Gothic" w:hAnsi="Century Gothic" w:cs="Century Gothic"/>
          <w:color w:val="000000"/>
        </w:rPr>
        <w:t xml:space="preserve"> found that storage conditions “began deviating dramatically from design plans only 18 months into CO2 injections, necessitating major interventions and investments” despite the geology being some of the most studied in the world.</w:t>
      </w:r>
      <w:r w:rsidRPr="00384DB4">
        <w:rPr>
          <w:rStyle w:val="EndnoteReference"/>
          <w:rFonts w:ascii="Century Gothic" w:eastAsia="Century Gothic" w:hAnsi="Century Gothic" w:cs="Century Gothic"/>
          <w:color w:val="000000"/>
        </w:rPr>
        <w:endnoteReference w:id="12"/>
      </w:r>
    </w:p>
    <w:p w14:paraId="0CB21747" w14:textId="75D9F3FF" w:rsidR="00A45DDC" w:rsidRPr="00384DB4" w:rsidRDefault="00A45DDC" w:rsidP="00A45DDC">
      <w:pPr>
        <w:numPr>
          <w:ilvl w:val="0"/>
          <w:numId w:val="1"/>
        </w:numPr>
        <w:rPr>
          <w:rFonts w:ascii="Century Gothic" w:eastAsia="Century Gothic" w:hAnsi="Century Gothic" w:cs="Century Gothic"/>
          <w:color w:val="000000"/>
        </w:rPr>
      </w:pPr>
      <w:r>
        <w:rPr>
          <w:rFonts w:ascii="Century Gothic" w:eastAsia="Century Gothic" w:hAnsi="Century Gothic" w:cs="Century Gothic"/>
          <w:color w:val="000000"/>
        </w:rPr>
        <w:t xml:space="preserve">A report from the IEA notes that CCS cannot be used to maintain the status quo because if fossil fuel consumption rises as projected, limiting emissions would require an inconceivable </w:t>
      </w:r>
      <w:r w:rsidRPr="00013AAB">
        <w:rPr>
          <w:rFonts w:ascii="Century Gothic" w:eastAsia="Century Gothic" w:hAnsi="Century Gothic" w:cs="Century Gothic"/>
          <w:color w:val="000000"/>
        </w:rPr>
        <w:t>32 billion tonnes of carbon captured for utilisation or storage by 2050</w:t>
      </w:r>
      <w:r>
        <w:rPr>
          <w:rFonts w:ascii="Century Gothic" w:eastAsia="Century Gothic" w:hAnsi="Century Gothic" w:cs="Century Gothic"/>
          <w:color w:val="000000"/>
        </w:rPr>
        <w:t xml:space="preserve">. </w:t>
      </w:r>
      <w:r w:rsidRPr="00013AAB">
        <w:rPr>
          <w:rFonts w:ascii="Century Gothic" w:eastAsia="Century Gothic" w:hAnsi="Century Gothic" w:cs="Century Gothic"/>
          <w:color w:val="000000"/>
        </w:rPr>
        <w:t>The amount of electricity needed to power these technologies would be greater than the entire world’s electricity demand today."</w:t>
      </w:r>
      <w:r>
        <w:rPr>
          <w:rStyle w:val="EndnoteReference"/>
          <w:rFonts w:ascii="Century Gothic" w:eastAsia="Century Gothic" w:hAnsi="Century Gothic" w:cs="Century Gothic"/>
          <w:color w:val="000000"/>
        </w:rPr>
        <w:endnoteReference w:id="13"/>
      </w:r>
    </w:p>
    <w:p w14:paraId="4FD9B584" w14:textId="77777777" w:rsidR="00C20946" w:rsidRDefault="00C20946" w:rsidP="00C20946">
      <w:pPr>
        <w:numPr>
          <w:ilvl w:val="0"/>
          <w:numId w:val="1"/>
        </w:numPr>
        <w:rPr>
          <w:rStyle w:val="eop"/>
          <w:rFonts w:ascii="Century Gothic" w:eastAsia="Century Gothic" w:hAnsi="Century Gothic" w:cs="Century Gothic"/>
          <w:color w:val="000000"/>
        </w:rPr>
      </w:pPr>
      <w:r w:rsidRPr="00AA55EF">
        <w:rPr>
          <w:rStyle w:val="eop"/>
          <w:rFonts w:ascii="Century Gothic" w:eastAsia="Century Gothic" w:hAnsi="Century Gothic" w:cs="Century Gothic"/>
          <w:color w:val="000000"/>
        </w:rPr>
        <w:t>A high CCS pathway to net zero emissions in 2050 is expected to cost at least $30 trillion more than a low CCS pathway</w:t>
      </w:r>
      <w:r>
        <w:rPr>
          <w:rStyle w:val="EndnoteReference"/>
          <w:rFonts w:ascii="Century Gothic" w:eastAsia="Century Gothic" w:hAnsi="Century Gothic" w:cs="Century Gothic"/>
          <w:color w:val="000000"/>
        </w:rPr>
        <w:endnoteReference w:id="14"/>
      </w:r>
    </w:p>
    <w:p w14:paraId="70882EA8" w14:textId="77777777" w:rsidR="00384DB4" w:rsidRDefault="00384DB4" w:rsidP="00384DB4">
      <w:pPr>
        <w:rPr>
          <w:rStyle w:val="eop"/>
          <w:rFonts w:ascii="Century Gothic" w:eastAsia="Century Gothic" w:hAnsi="Century Gothic" w:cs="Century Gothic"/>
          <w:color w:val="000000"/>
        </w:rPr>
      </w:pPr>
    </w:p>
    <w:p w14:paraId="5A1F7F8F" w14:textId="3E2F5FC2" w:rsidR="00384DB4" w:rsidRPr="00384DB4" w:rsidRDefault="00384DB4" w:rsidP="00384DB4">
      <w:pPr>
        <w:rPr>
          <w:rFonts w:ascii="Century Gothic" w:eastAsia="Century Gothic" w:hAnsi="Century Gothic" w:cs="Century Gothic"/>
          <w:color w:val="000000"/>
          <w:u w:val="single"/>
        </w:rPr>
      </w:pPr>
      <w:r w:rsidRPr="00384DB4">
        <w:rPr>
          <w:rStyle w:val="eop"/>
          <w:rFonts w:ascii="Century Gothic" w:eastAsia="Century Gothic" w:hAnsi="Century Gothic" w:cs="Century Gothic"/>
          <w:color w:val="000000"/>
          <w:u w:val="single"/>
        </w:rPr>
        <w:t>Recommendations</w:t>
      </w:r>
    </w:p>
    <w:bookmarkStart w:id="0" w:name="_heading=h.gjdgxs"/>
    <w:bookmarkEnd w:id="0"/>
    <w:p w14:paraId="00000032" w14:textId="27344B21" w:rsidR="000E087C" w:rsidRPr="00384DB4" w:rsidRDefault="00000000" w:rsidP="0990E1B4">
      <w:pPr>
        <w:rPr>
          <w:rFonts w:ascii="Century Gothic" w:eastAsia="Century Gothic" w:hAnsi="Century Gothic" w:cs="Century Gothic"/>
        </w:rPr>
      </w:pPr>
      <w:sdt>
        <w:sdtPr>
          <w:tag w:val="goog_rdk_8"/>
          <w:id w:val="-6832542"/>
          <w:placeholder>
            <w:docPart w:val="DefaultPlaceholder_1081868574"/>
          </w:placeholder>
        </w:sdtPr>
        <w:sdtContent/>
      </w:sdt>
      <w:sdt>
        <w:sdtPr>
          <w:tag w:val="goog_rdk_9"/>
          <w:id w:val="391320724"/>
          <w:placeholder>
            <w:docPart w:val="DefaultPlaceholder_1081868574"/>
          </w:placeholder>
        </w:sdtPr>
        <w:sdtContent/>
      </w:sdt>
      <w:r w:rsidR="00E437FF" w:rsidRPr="0990E1B4">
        <w:rPr>
          <w:rFonts w:ascii="Century Gothic" w:eastAsia="Century Gothic" w:hAnsi="Century Gothic" w:cs="Century Gothic"/>
        </w:rPr>
        <w:t>The Solent Cluster proposes to explore low carbon innovation and sustainable fuel sources.  The Climate Commission recognises that there is a role for transitional technologies</w:t>
      </w:r>
      <w:r w:rsidR="00495DA8" w:rsidRPr="0990E1B4">
        <w:rPr>
          <w:rFonts w:ascii="Century Gothic" w:eastAsia="Century Gothic" w:hAnsi="Century Gothic" w:cs="Century Gothic"/>
        </w:rPr>
        <w:t xml:space="preserve"> if they meet a rigorous standard such as The Clean Hydrogen Definition</w:t>
      </w:r>
      <w:r w:rsidR="00691533" w:rsidRPr="0990E1B4">
        <w:rPr>
          <w:rFonts w:ascii="Century Gothic" w:eastAsia="Century Gothic" w:hAnsi="Century Gothic" w:cs="Century Gothic"/>
        </w:rPr>
        <w:t>, however the priority should be reducing emissions with CCS as a last resort</w:t>
      </w:r>
      <w:r w:rsidR="00B1734E" w:rsidRPr="0990E1B4">
        <w:rPr>
          <w:rFonts w:ascii="Century Gothic" w:eastAsia="Century Gothic" w:hAnsi="Century Gothic" w:cs="Century Gothic"/>
        </w:rPr>
        <w:t xml:space="preserve"> </w:t>
      </w:r>
      <w:r w:rsidR="00691533" w:rsidRPr="0990E1B4">
        <w:rPr>
          <w:rFonts w:ascii="Century Gothic" w:eastAsia="Century Gothic" w:hAnsi="Century Gothic" w:cs="Century Gothic"/>
        </w:rPr>
        <w:t>th</w:t>
      </w:r>
      <w:r w:rsidR="009F66A5" w:rsidRPr="0990E1B4">
        <w:rPr>
          <w:rFonts w:ascii="Century Gothic" w:eastAsia="Century Gothic" w:hAnsi="Century Gothic" w:cs="Century Gothic"/>
        </w:rPr>
        <w:t>erefore the</w:t>
      </w:r>
      <w:r w:rsidR="00691533" w:rsidRPr="0990E1B4">
        <w:rPr>
          <w:rFonts w:ascii="Century Gothic" w:eastAsia="Century Gothic" w:hAnsi="Century Gothic" w:cs="Century Gothic"/>
        </w:rPr>
        <w:t xml:space="preserve"> Climate Commission </w:t>
      </w:r>
      <w:r w:rsidR="00E437FF" w:rsidRPr="0990E1B4">
        <w:rPr>
          <w:rFonts w:ascii="Century Gothic" w:eastAsia="Century Gothic" w:hAnsi="Century Gothic" w:cs="Century Gothic"/>
        </w:rPr>
        <w:t>recommends that:</w:t>
      </w:r>
    </w:p>
    <w:p w14:paraId="00000033" w14:textId="77777777" w:rsidR="000E087C" w:rsidRPr="00384DB4" w:rsidRDefault="000E087C">
      <w:pPr>
        <w:pBdr>
          <w:top w:val="nil"/>
          <w:left w:val="nil"/>
          <w:bottom w:val="nil"/>
          <w:right w:val="nil"/>
          <w:between w:val="nil"/>
        </w:pBdr>
        <w:ind w:left="720"/>
        <w:rPr>
          <w:rFonts w:ascii="Century Gothic" w:eastAsia="Century Gothic" w:hAnsi="Century Gothic" w:cs="Century Gothic"/>
          <w:color w:val="000000"/>
        </w:rPr>
      </w:pPr>
    </w:p>
    <w:p w14:paraId="00000034" w14:textId="1EB3CD66" w:rsidR="000E087C" w:rsidRPr="00384DB4" w:rsidRDefault="00E437FF">
      <w:pPr>
        <w:numPr>
          <w:ilvl w:val="0"/>
          <w:numId w:val="4"/>
        </w:numPr>
        <w:pBdr>
          <w:top w:val="nil"/>
          <w:left w:val="nil"/>
          <w:bottom w:val="nil"/>
          <w:right w:val="nil"/>
          <w:between w:val="nil"/>
        </w:pBdr>
        <w:rPr>
          <w:rFonts w:ascii="Century Gothic" w:eastAsia="Century Gothic" w:hAnsi="Century Gothic" w:cs="Century Gothic"/>
          <w:color w:val="000000"/>
        </w:rPr>
      </w:pPr>
      <w:r w:rsidRPr="00384DB4">
        <w:rPr>
          <w:rFonts w:ascii="Century Gothic" w:eastAsia="Century Gothic" w:hAnsi="Century Gothic" w:cs="Century Gothic"/>
          <w:color w:val="000000"/>
        </w:rPr>
        <w:t xml:space="preserve">The Solent Cluster explores the full range of net zero technologies and options available to industry and </w:t>
      </w:r>
      <w:r w:rsidR="00264C6B" w:rsidRPr="00384DB4">
        <w:rPr>
          <w:rFonts w:ascii="Century Gothic" w:eastAsia="Century Gothic" w:hAnsi="Century Gothic" w:cs="Century Gothic"/>
          <w:color w:val="000000"/>
        </w:rPr>
        <w:t xml:space="preserve">ensures </w:t>
      </w:r>
      <w:r w:rsidRPr="00384DB4">
        <w:rPr>
          <w:rFonts w:ascii="Century Gothic" w:eastAsia="Century Gothic" w:hAnsi="Century Gothic" w:cs="Century Gothic"/>
          <w:color w:val="000000"/>
        </w:rPr>
        <w:t xml:space="preserve">greater investment </w:t>
      </w:r>
      <w:r w:rsidR="00264C6B" w:rsidRPr="00384DB4">
        <w:rPr>
          <w:rFonts w:ascii="Century Gothic" w:eastAsia="Century Gothic" w:hAnsi="Century Gothic" w:cs="Century Gothic"/>
          <w:color w:val="000000"/>
        </w:rPr>
        <w:t xml:space="preserve">is made </w:t>
      </w:r>
      <w:r w:rsidRPr="00384DB4">
        <w:rPr>
          <w:rFonts w:ascii="Century Gothic" w:eastAsia="Century Gothic" w:hAnsi="Century Gothic" w:cs="Century Gothic"/>
          <w:color w:val="000000"/>
        </w:rPr>
        <w:t xml:space="preserve">in renewable energy and a rapid transition to net zero. </w:t>
      </w:r>
    </w:p>
    <w:p w14:paraId="00000035" w14:textId="77777777" w:rsidR="000E087C" w:rsidRPr="00384DB4" w:rsidRDefault="000E087C">
      <w:pPr>
        <w:rPr>
          <w:rFonts w:ascii="Century Gothic" w:eastAsia="Century Gothic" w:hAnsi="Century Gothic" w:cs="Century Gothic"/>
          <w:color w:val="000000"/>
        </w:rPr>
      </w:pPr>
    </w:p>
    <w:p w14:paraId="00000036" w14:textId="26F1F4DE" w:rsidR="000E087C" w:rsidRPr="00384DB4" w:rsidRDefault="00E437FF">
      <w:pPr>
        <w:numPr>
          <w:ilvl w:val="0"/>
          <w:numId w:val="4"/>
        </w:numPr>
        <w:pBdr>
          <w:top w:val="nil"/>
          <w:left w:val="nil"/>
          <w:bottom w:val="nil"/>
          <w:right w:val="nil"/>
          <w:between w:val="nil"/>
        </w:pBdr>
        <w:rPr>
          <w:rFonts w:ascii="Century Gothic" w:eastAsia="Century Gothic" w:hAnsi="Century Gothic" w:cs="Century Gothic"/>
          <w:color w:val="000000"/>
        </w:rPr>
      </w:pPr>
      <w:r w:rsidRPr="00384DB4">
        <w:rPr>
          <w:rFonts w:ascii="Century Gothic" w:eastAsia="Century Gothic" w:hAnsi="Century Gothic" w:cs="Century Gothic"/>
          <w:color w:val="000000"/>
        </w:rPr>
        <w:t>The role of hydrogen needs to be appropriate, offer the best net zero solution and not hamper other opportunities that have the potential to deliver more cost effective and sustainable reductions in emissions.</w:t>
      </w:r>
    </w:p>
    <w:p w14:paraId="00000037" w14:textId="77777777" w:rsidR="000E087C" w:rsidRPr="00384DB4" w:rsidRDefault="000E087C">
      <w:pPr>
        <w:rPr>
          <w:rFonts w:ascii="Century Gothic" w:eastAsia="Century Gothic" w:hAnsi="Century Gothic" w:cs="Century Gothic"/>
          <w:color w:val="000000"/>
        </w:rPr>
      </w:pPr>
    </w:p>
    <w:p w14:paraId="00000038" w14:textId="680D9604" w:rsidR="000E087C" w:rsidRPr="00384DB4" w:rsidRDefault="00E437FF">
      <w:pPr>
        <w:numPr>
          <w:ilvl w:val="0"/>
          <w:numId w:val="4"/>
        </w:numPr>
        <w:pBdr>
          <w:top w:val="nil"/>
          <w:left w:val="nil"/>
          <w:bottom w:val="nil"/>
          <w:right w:val="nil"/>
          <w:between w:val="nil"/>
        </w:pBdr>
        <w:rPr>
          <w:rFonts w:ascii="Century Gothic" w:eastAsia="Century Gothic" w:hAnsi="Century Gothic" w:cs="Century Gothic"/>
          <w:color w:val="000000"/>
        </w:rPr>
      </w:pPr>
      <w:r w:rsidRPr="00384DB4">
        <w:rPr>
          <w:rFonts w:ascii="Century Gothic" w:eastAsia="Century Gothic" w:hAnsi="Century Gothic" w:cs="Century Gothic"/>
          <w:color w:val="000000"/>
        </w:rPr>
        <w:t xml:space="preserve">Any role for </w:t>
      </w:r>
      <w:r w:rsidR="00691533" w:rsidRPr="00384DB4">
        <w:rPr>
          <w:rFonts w:ascii="Century Gothic" w:eastAsia="Century Gothic" w:hAnsi="Century Gothic" w:cs="Century Gothic"/>
          <w:color w:val="000000"/>
        </w:rPr>
        <w:t xml:space="preserve">low carbon </w:t>
      </w:r>
      <w:r w:rsidRPr="00384DB4">
        <w:rPr>
          <w:rFonts w:ascii="Century Gothic" w:eastAsia="Century Gothic" w:hAnsi="Century Gothic" w:cs="Century Gothic"/>
          <w:color w:val="000000"/>
        </w:rPr>
        <w:t xml:space="preserve">hydrogen is dependent upon there being confidence that the reductions in emissions are achievable, that there is scientific and engineering certainty around the capture and storage of carbon emissions, and that such storage is financially guaranteed in perpetuity. </w:t>
      </w:r>
    </w:p>
    <w:p w14:paraId="00000039" w14:textId="77777777" w:rsidR="000E087C" w:rsidRPr="00384DB4" w:rsidRDefault="000E087C">
      <w:pPr>
        <w:ind w:firstLine="50"/>
        <w:rPr>
          <w:rFonts w:ascii="Century Gothic" w:eastAsia="Century Gothic" w:hAnsi="Century Gothic" w:cs="Century Gothic"/>
        </w:rPr>
      </w:pPr>
    </w:p>
    <w:p w14:paraId="0000003A" w14:textId="145CF19C" w:rsidR="000E087C" w:rsidRPr="00384DB4" w:rsidRDefault="00E437FF">
      <w:pPr>
        <w:numPr>
          <w:ilvl w:val="0"/>
          <w:numId w:val="4"/>
        </w:numPr>
        <w:pBdr>
          <w:top w:val="nil"/>
          <w:left w:val="nil"/>
          <w:bottom w:val="nil"/>
          <w:right w:val="nil"/>
          <w:between w:val="nil"/>
        </w:pBdr>
        <w:rPr>
          <w:rFonts w:ascii="Century Gothic" w:eastAsia="Century Gothic" w:hAnsi="Century Gothic" w:cs="Century Gothic"/>
          <w:color w:val="000000"/>
        </w:rPr>
      </w:pPr>
      <w:r w:rsidRPr="00384DB4">
        <w:rPr>
          <w:rFonts w:ascii="Century Gothic" w:eastAsia="Century Gothic" w:hAnsi="Century Gothic" w:cs="Century Gothic"/>
          <w:color w:val="000000"/>
        </w:rPr>
        <w:t>There is a focus on a transition to</w:t>
      </w:r>
      <w:r w:rsidR="00691533" w:rsidRPr="00384DB4">
        <w:rPr>
          <w:rFonts w:ascii="Century Gothic" w:eastAsia="Century Gothic" w:hAnsi="Century Gothic" w:cs="Century Gothic"/>
          <w:color w:val="000000"/>
        </w:rPr>
        <w:t xml:space="preserve"> zero carbon </w:t>
      </w:r>
      <w:r w:rsidRPr="00384DB4">
        <w:rPr>
          <w:rFonts w:ascii="Century Gothic" w:eastAsia="Century Gothic" w:hAnsi="Century Gothic" w:cs="Century Gothic"/>
          <w:color w:val="000000"/>
        </w:rPr>
        <w:t xml:space="preserve">hydrogen and that development of a </w:t>
      </w:r>
      <w:r w:rsidR="00691533" w:rsidRPr="00384DB4">
        <w:rPr>
          <w:rFonts w:ascii="Century Gothic" w:eastAsia="Century Gothic" w:hAnsi="Century Gothic" w:cs="Century Gothic"/>
          <w:color w:val="000000"/>
        </w:rPr>
        <w:t>low carbo</w:t>
      </w:r>
      <w:r w:rsidR="00B1734E" w:rsidRPr="00384DB4">
        <w:rPr>
          <w:rFonts w:ascii="Century Gothic" w:eastAsia="Century Gothic" w:hAnsi="Century Gothic" w:cs="Century Gothic"/>
          <w:color w:val="000000"/>
        </w:rPr>
        <w:t>n</w:t>
      </w:r>
      <w:r w:rsidRPr="00384DB4">
        <w:rPr>
          <w:rFonts w:ascii="Century Gothic" w:eastAsia="Century Gothic" w:hAnsi="Century Gothic" w:cs="Century Gothic"/>
          <w:color w:val="000000"/>
        </w:rPr>
        <w:t xml:space="preserve"> hydrogen market does not impede that transition.</w:t>
      </w:r>
      <w:r w:rsidR="00691533" w:rsidRPr="00384DB4">
        <w:rPr>
          <w:rFonts w:ascii="Century Gothic" w:eastAsia="Century Gothic" w:hAnsi="Century Gothic" w:cs="Century Gothic"/>
          <w:color w:val="000000"/>
        </w:rPr>
        <w:t xml:space="preserve"> Zero carbon hydrogen requires investment in renewable energy sources. </w:t>
      </w:r>
      <w:r w:rsidRPr="00384DB4">
        <w:rPr>
          <w:rFonts w:ascii="Century Gothic" w:eastAsia="Century Gothic" w:hAnsi="Century Gothic" w:cs="Century Gothic"/>
          <w:color w:val="000000"/>
        </w:rPr>
        <w:t xml:space="preserve"> </w:t>
      </w:r>
    </w:p>
    <w:p w14:paraId="0000003B" w14:textId="77777777" w:rsidR="000E087C" w:rsidRPr="00384DB4" w:rsidRDefault="000E087C">
      <w:pPr>
        <w:pBdr>
          <w:top w:val="nil"/>
          <w:left w:val="nil"/>
          <w:bottom w:val="nil"/>
          <w:right w:val="nil"/>
          <w:between w:val="nil"/>
        </w:pBdr>
        <w:ind w:left="720"/>
        <w:rPr>
          <w:rFonts w:ascii="Century Gothic" w:eastAsia="Century Gothic" w:hAnsi="Century Gothic" w:cs="Century Gothic"/>
          <w:color w:val="000000"/>
        </w:rPr>
      </w:pPr>
    </w:p>
    <w:p w14:paraId="0000003D" w14:textId="37140984" w:rsidR="000E087C" w:rsidRPr="00384DB4" w:rsidRDefault="00E437FF" w:rsidP="0990E1B4">
      <w:pPr>
        <w:numPr>
          <w:ilvl w:val="0"/>
          <w:numId w:val="4"/>
        </w:numPr>
        <w:pBdr>
          <w:top w:val="nil"/>
          <w:left w:val="nil"/>
          <w:bottom w:val="nil"/>
          <w:right w:val="nil"/>
          <w:between w:val="nil"/>
        </w:pBdr>
        <w:rPr>
          <w:rFonts w:ascii="Century Gothic" w:eastAsia="Century Gothic" w:hAnsi="Century Gothic" w:cs="Century Gothic"/>
          <w:color w:val="000000" w:themeColor="text1"/>
        </w:rPr>
      </w:pPr>
      <w:r w:rsidRPr="0990E1B4">
        <w:rPr>
          <w:rFonts w:ascii="Century Gothic" w:eastAsia="Century Gothic" w:hAnsi="Century Gothic" w:cs="Century Gothic"/>
          <w:color w:val="000000" w:themeColor="text1"/>
        </w:rPr>
        <w:t xml:space="preserve">Carbon capture and storage is focused on “hard to treat” emissions, such as those emitted by chemical and industrial processes, rather than enabling business as usual extraction and use of fossil fuels. </w:t>
      </w:r>
    </w:p>
    <w:sectPr w:rsidR="000E087C" w:rsidRPr="00384DB4">
      <w:headerReference w:type="default" r:id="rId19"/>
      <w:footerReference w:type="default" r:id="rId2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05CBA" w14:textId="77777777" w:rsidR="00DC20DF" w:rsidRDefault="00DC20DF">
      <w:r>
        <w:separator/>
      </w:r>
    </w:p>
  </w:endnote>
  <w:endnote w:type="continuationSeparator" w:id="0">
    <w:p w14:paraId="49F638DE" w14:textId="77777777" w:rsidR="00DC20DF" w:rsidRDefault="00DC20DF">
      <w:r>
        <w:continuationSeparator/>
      </w:r>
    </w:p>
  </w:endnote>
  <w:endnote w:type="continuationNotice" w:id="1">
    <w:p w14:paraId="754367FA" w14:textId="77777777" w:rsidR="00DC20DF" w:rsidRDefault="00DC20DF"/>
  </w:endnote>
  <w:endnote w:id="2">
    <w:p w14:paraId="00000042" w14:textId="470996AB" w:rsidR="00B41829" w:rsidRPr="00F2551B" w:rsidRDefault="00B41829">
      <w:pPr>
        <w:pBdr>
          <w:top w:val="nil"/>
          <w:left w:val="nil"/>
          <w:bottom w:val="nil"/>
          <w:right w:val="nil"/>
          <w:between w:val="nil"/>
        </w:pBdr>
        <w:rPr>
          <w:color w:val="000000"/>
          <w:sz w:val="20"/>
          <w:szCs w:val="20"/>
        </w:rPr>
      </w:pPr>
      <w:r w:rsidRPr="00F2551B">
        <w:rPr>
          <w:rStyle w:val="EndnoteReference"/>
          <w:sz w:val="20"/>
          <w:szCs w:val="20"/>
        </w:rPr>
        <w:endnoteRef/>
      </w:r>
      <w:r w:rsidRPr="00F2551B">
        <w:rPr>
          <w:color w:val="000000"/>
          <w:sz w:val="20"/>
          <w:szCs w:val="20"/>
        </w:rPr>
        <w:t xml:space="preserve"> i.e. not going beyond 1.5C of global warming and relying on carbon capture technologies to bring global temperatures back down. </w:t>
      </w:r>
      <w:hyperlink r:id="rId1" w:history="1">
        <w:r w:rsidRPr="00F2551B">
          <w:rPr>
            <w:rStyle w:val="Hyperlink"/>
            <w:sz w:val="20"/>
            <w:szCs w:val="20"/>
          </w:rPr>
          <w:t>Overshoot | Overshoot Commission</w:t>
        </w:r>
      </w:hyperlink>
    </w:p>
  </w:endnote>
  <w:endnote w:id="3">
    <w:p w14:paraId="342BF2B7" w14:textId="07B62571" w:rsidR="00B41829" w:rsidRPr="00F2551B" w:rsidRDefault="00B41829">
      <w:pPr>
        <w:pStyle w:val="EndnoteText"/>
      </w:pPr>
      <w:r w:rsidRPr="00F2551B">
        <w:rPr>
          <w:rStyle w:val="EndnoteReference"/>
        </w:rPr>
        <w:endnoteRef/>
      </w:r>
      <w:r w:rsidRPr="00F2551B">
        <w:t xml:space="preserve"> </w:t>
      </w:r>
      <w:hyperlink r:id="rId2" w:history="1">
        <w:r w:rsidRPr="00F2551B">
          <w:rPr>
            <w:rStyle w:val="Hyperlink"/>
          </w:rPr>
          <w:t>Net Zero by 2050 – Analysis - IEA</w:t>
        </w:r>
      </w:hyperlink>
    </w:p>
  </w:endnote>
  <w:endnote w:id="4">
    <w:p w14:paraId="00000046" w14:textId="5090F9E1" w:rsidR="00B41829" w:rsidRPr="00F2551B" w:rsidRDefault="00B41829" w:rsidP="00B1734E">
      <w:pPr>
        <w:pBdr>
          <w:top w:val="nil"/>
          <w:left w:val="nil"/>
          <w:bottom w:val="nil"/>
          <w:right w:val="nil"/>
          <w:between w:val="nil"/>
        </w:pBdr>
        <w:rPr>
          <w:color w:val="000000"/>
          <w:sz w:val="20"/>
          <w:szCs w:val="20"/>
        </w:rPr>
      </w:pPr>
      <w:r w:rsidRPr="00F2551B">
        <w:rPr>
          <w:rStyle w:val="EndnoteReference"/>
          <w:sz w:val="20"/>
          <w:szCs w:val="20"/>
        </w:rPr>
        <w:endnoteRef/>
      </w:r>
      <w:r w:rsidRPr="00F2551B">
        <w:rPr>
          <w:color w:val="000000"/>
          <w:sz w:val="20"/>
          <w:szCs w:val="20"/>
        </w:rPr>
        <w:t xml:space="preserve"> ‘IPCC AR6 Synthesis Report</w:t>
      </w:r>
      <w:r w:rsidRPr="00F2551B">
        <w:rPr>
          <w:i/>
          <w:color w:val="000000"/>
          <w:sz w:val="20"/>
          <w:szCs w:val="20"/>
        </w:rPr>
        <w:t xml:space="preserve"> “Risks are increasing with every increment of warming”</w:t>
      </w:r>
      <w:r w:rsidRPr="00F2551B">
        <w:rPr>
          <w:color w:val="000000"/>
          <w:sz w:val="20"/>
          <w:szCs w:val="20"/>
        </w:rPr>
        <w:t xml:space="preserve"> </w:t>
      </w:r>
      <w:hyperlink r:id="rId3">
        <w:r w:rsidRPr="00F2551B">
          <w:rPr>
            <w:color w:val="0070C0"/>
            <w:sz w:val="20"/>
            <w:szCs w:val="20"/>
            <w:u w:val="single"/>
          </w:rPr>
          <w:t>https://www.ipcc.ch/report/ar6/syr/downloads/report/IPCC_AR6_SYR_SPM.pdf</w:t>
        </w:r>
      </w:hyperlink>
      <w:r w:rsidRPr="00F2551B">
        <w:rPr>
          <w:color w:val="0070C0"/>
          <w:sz w:val="20"/>
          <w:szCs w:val="20"/>
        </w:rPr>
        <w:t xml:space="preserve"> </w:t>
      </w:r>
    </w:p>
  </w:endnote>
  <w:endnote w:id="5">
    <w:p w14:paraId="37265582" w14:textId="152DBE2B" w:rsidR="00B41829" w:rsidRPr="00F2551B" w:rsidRDefault="00B41829" w:rsidP="00DC4B6E">
      <w:pPr>
        <w:pStyle w:val="EndnoteText"/>
      </w:pPr>
      <w:r w:rsidRPr="00F2551B">
        <w:rPr>
          <w:rStyle w:val="EndnoteReference"/>
        </w:rPr>
        <w:endnoteRef/>
      </w:r>
      <w:r w:rsidRPr="00F2551B">
        <w:t xml:space="preserve"> </w:t>
      </w:r>
      <w:hyperlink r:id="rId4" w:history="1">
        <w:r w:rsidRPr="00F2551B">
          <w:rPr>
            <w:rStyle w:val="Hyperlink"/>
          </w:rPr>
          <w:t>How green is blue hydrogen? - Howarth - 2021 - Energy Science &amp; Engineering - Wiley Online Library</w:t>
        </w:r>
      </w:hyperlink>
    </w:p>
  </w:endnote>
  <w:endnote w:id="6">
    <w:p w14:paraId="15802C7E" w14:textId="77777777" w:rsidR="00A45DDC" w:rsidRPr="00F2551B" w:rsidRDefault="00A45DDC" w:rsidP="00A45DDC">
      <w:pPr>
        <w:pStyle w:val="EndnoteText"/>
      </w:pPr>
      <w:r w:rsidRPr="00F2551B">
        <w:rPr>
          <w:rStyle w:val="EndnoteReference"/>
        </w:rPr>
        <w:endnoteRef/>
      </w:r>
      <w:r w:rsidRPr="00F2551B">
        <w:t xml:space="preserve"> </w:t>
      </w:r>
      <w:hyperlink r:id="rId5" w:history="1">
        <w:r w:rsidRPr="00F2551B">
          <w:rPr>
            <w:rStyle w:val="Hyperlink"/>
          </w:rPr>
          <w:t>Hydrogen Science Coalition | Clean Hydrogen Definition - Hydrogen Science Coalition % (h2sciencecoalition.com)</w:t>
        </w:r>
      </w:hyperlink>
    </w:p>
  </w:endnote>
  <w:endnote w:id="7">
    <w:p w14:paraId="1167B984" w14:textId="574BF98F" w:rsidR="00B41829" w:rsidRPr="00F2551B" w:rsidRDefault="00B41829">
      <w:pPr>
        <w:pStyle w:val="EndnoteText"/>
      </w:pPr>
      <w:r w:rsidRPr="00F2551B">
        <w:rPr>
          <w:rStyle w:val="EndnoteReference"/>
        </w:rPr>
        <w:endnoteRef/>
      </w:r>
      <w:r w:rsidRPr="00F2551B">
        <w:t xml:space="preserve"> </w:t>
      </w:r>
      <w:hyperlink r:id="rId6" w:history="1">
        <w:r w:rsidRPr="00F2551B">
          <w:rPr>
            <w:rStyle w:val="Hyperlink"/>
          </w:rPr>
          <w:t>The role of hydrogen in achieving Net Zero (parliament.uk)</w:t>
        </w:r>
      </w:hyperlink>
    </w:p>
  </w:endnote>
  <w:endnote w:id="8">
    <w:p w14:paraId="1EC2B3A8" w14:textId="77777777" w:rsidR="00E97A38" w:rsidRPr="00F2551B" w:rsidRDefault="00E97A38" w:rsidP="00E97A38">
      <w:pPr>
        <w:pStyle w:val="EndnoteText"/>
      </w:pPr>
      <w:r w:rsidRPr="00F2551B">
        <w:rPr>
          <w:rStyle w:val="EndnoteReference"/>
        </w:rPr>
        <w:endnoteRef/>
      </w:r>
      <w:r w:rsidRPr="00F2551B">
        <w:t xml:space="preserve"> </w:t>
      </w:r>
      <w:hyperlink r:id="rId7" w:history="1">
        <w:r w:rsidRPr="00F2551B">
          <w:rPr>
            <w:rStyle w:val="Hyperlink"/>
          </w:rPr>
          <w:t>Technical annex - Hydrogen heating - NIC</w:t>
        </w:r>
      </w:hyperlink>
    </w:p>
  </w:endnote>
  <w:endnote w:id="9">
    <w:p w14:paraId="2E72E70F" w14:textId="77777777" w:rsidR="00E97A38" w:rsidRPr="00F2551B" w:rsidRDefault="00E97A38" w:rsidP="00E97A38">
      <w:pPr>
        <w:pStyle w:val="EndnoteText"/>
      </w:pPr>
      <w:r w:rsidRPr="00F2551B">
        <w:rPr>
          <w:rStyle w:val="EndnoteReference"/>
        </w:rPr>
        <w:endnoteRef/>
      </w:r>
      <w:r w:rsidRPr="00F2551B">
        <w:t xml:space="preserve"> </w:t>
      </w:r>
      <w:hyperlink r:id="rId8" w:history="1">
        <w:r w:rsidRPr="00F2551B">
          <w:rPr>
            <w:rStyle w:val="Hyperlink"/>
          </w:rPr>
          <w:t>Project Plan | The Solent Cluster</w:t>
        </w:r>
      </w:hyperlink>
    </w:p>
  </w:endnote>
  <w:endnote w:id="10">
    <w:p w14:paraId="0D1D42EA" w14:textId="77777777" w:rsidR="00C20946" w:rsidRPr="00F2551B" w:rsidRDefault="00C20946" w:rsidP="00C20946">
      <w:pPr>
        <w:pStyle w:val="EndnoteText"/>
      </w:pPr>
      <w:r w:rsidRPr="00F2551B">
        <w:rPr>
          <w:rStyle w:val="EndnoteReference"/>
        </w:rPr>
        <w:endnoteRef/>
      </w:r>
      <w:r w:rsidRPr="00F2551B">
        <w:t xml:space="preserve"> </w:t>
      </w:r>
      <w:hyperlink r:id="rId9" w:history="1">
        <w:r w:rsidRPr="00F2551B">
          <w:rPr>
            <w:rStyle w:val="Hyperlink"/>
          </w:rPr>
          <w:t>ExxonMobil, SGN, Green Investment Group sign MoU to explore potential for Southampton Hydrogen hub | ExxonMobil</w:t>
        </w:r>
      </w:hyperlink>
    </w:p>
  </w:endnote>
  <w:endnote w:id="11">
    <w:p w14:paraId="3494A26E" w14:textId="11E5767A" w:rsidR="00C20946" w:rsidRPr="00F2551B" w:rsidRDefault="00C20946">
      <w:pPr>
        <w:pStyle w:val="EndnoteText"/>
      </w:pPr>
      <w:r w:rsidRPr="00F2551B">
        <w:rPr>
          <w:rStyle w:val="EndnoteReference"/>
        </w:rPr>
        <w:endnoteRef/>
      </w:r>
      <w:r w:rsidRPr="00F2551B">
        <w:t xml:space="preserve"> </w:t>
      </w:r>
      <w:hyperlink r:id="rId10" w:history="1">
        <w:r w:rsidRPr="00F2551B">
          <w:rPr>
            <w:rStyle w:val="Hyperlink"/>
          </w:rPr>
          <w:t>Gorgon Gas Development and Jansz Feed Gas Pipeline Environmental Performance Report 2022 (chevron.com)</w:t>
        </w:r>
      </w:hyperlink>
    </w:p>
  </w:endnote>
  <w:endnote w:id="12">
    <w:p w14:paraId="1B9EE4B1" w14:textId="17EA063A" w:rsidR="00B41829" w:rsidRPr="00F2551B" w:rsidRDefault="00B41829">
      <w:pPr>
        <w:pStyle w:val="EndnoteText"/>
      </w:pPr>
      <w:r w:rsidRPr="00F2551B">
        <w:rPr>
          <w:rStyle w:val="EndnoteReference"/>
        </w:rPr>
        <w:endnoteRef/>
      </w:r>
      <w:r w:rsidRPr="00F2551B">
        <w:t xml:space="preserve"> </w:t>
      </w:r>
      <w:hyperlink r:id="rId11" w:history="1">
        <w:r w:rsidRPr="00F2551B">
          <w:rPr>
            <w:rStyle w:val="Hyperlink"/>
          </w:rPr>
          <w:t>Norway’s Sleipner and Snøhvit CCS: Industry models or cautionary tales? | IEEFA</w:t>
        </w:r>
      </w:hyperlink>
    </w:p>
  </w:endnote>
  <w:endnote w:id="13">
    <w:p w14:paraId="2733B5CB" w14:textId="77777777" w:rsidR="00A45DDC" w:rsidRPr="00F2551B" w:rsidRDefault="00A45DDC" w:rsidP="00A45DDC">
      <w:pPr>
        <w:pStyle w:val="EndnoteText"/>
      </w:pPr>
      <w:r w:rsidRPr="00F2551B">
        <w:rPr>
          <w:rStyle w:val="EndnoteReference"/>
        </w:rPr>
        <w:endnoteRef/>
      </w:r>
      <w:r w:rsidRPr="00F2551B">
        <w:t xml:space="preserve"> </w:t>
      </w:r>
      <w:hyperlink r:id="rId12" w:history="1">
        <w:r w:rsidRPr="00F2551B">
          <w:rPr>
            <w:rStyle w:val="Hyperlink"/>
          </w:rPr>
          <w:t>The Oil and Gas Industry in Net Zero Transitions – Analysis - IEA</w:t>
        </w:r>
      </w:hyperlink>
    </w:p>
  </w:endnote>
  <w:endnote w:id="14">
    <w:p w14:paraId="6E1577EB" w14:textId="77777777" w:rsidR="00C20946" w:rsidRDefault="00C20946" w:rsidP="00C20946">
      <w:pPr>
        <w:pStyle w:val="EndnoteText"/>
      </w:pPr>
      <w:r w:rsidRPr="00F2551B">
        <w:rPr>
          <w:rStyle w:val="EndnoteReference"/>
        </w:rPr>
        <w:endnoteRef/>
      </w:r>
      <w:r w:rsidRPr="00F2551B">
        <w:t xml:space="preserve"> </w:t>
      </w:r>
      <w:hyperlink r:id="rId13" w:history="1">
        <w:r w:rsidRPr="00F2551B">
          <w:rPr>
            <w:rStyle w:val="Hyperlink"/>
          </w:rPr>
          <w:t>Heavy dependence on Carbon Capture and Storage ‘highly economically damaging’, says Oxford report | Smith School of Enterprise and the Environment</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Noto Sans Symbols">
    <w:altName w:val="Calibri"/>
    <w:panose1 w:val="020B0604020202020204"/>
    <w:charset w:val="00"/>
    <w:family w:val="auto"/>
    <w:pitch w:val="default"/>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238466"/>
      <w:docPartObj>
        <w:docPartGallery w:val="Page Numbers (Bottom of Page)"/>
        <w:docPartUnique/>
      </w:docPartObj>
    </w:sdtPr>
    <w:sdtContent>
      <w:sdt>
        <w:sdtPr>
          <w:id w:val="1728636285"/>
          <w:docPartObj>
            <w:docPartGallery w:val="Page Numbers (Top of Page)"/>
            <w:docPartUnique/>
          </w:docPartObj>
        </w:sdtPr>
        <w:sdtContent>
          <w:p w14:paraId="4DD6BFC3" w14:textId="77EF4A8D" w:rsidR="00A45DDC" w:rsidRDefault="00A45DD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0000050" w14:textId="77777777" w:rsidR="000E087C" w:rsidRDefault="000E087C">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468F4" w14:textId="77777777" w:rsidR="00DC20DF" w:rsidRDefault="00DC20DF">
      <w:r>
        <w:separator/>
      </w:r>
    </w:p>
  </w:footnote>
  <w:footnote w:type="continuationSeparator" w:id="0">
    <w:p w14:paraId="4EDA42ED" w14:textId="77777777" w:rsidR="00DC20DF" w:rsidRDefault="00DC20DF">
      <w:r>
        <w:continuationSeparator/>
      </w:r>
    </w:p>
  </w:footnote>
  <w:footnote w:type="continuationNotice" w:id="1">
    <w:p w14:paraId="75F2C979" w14:textId="77777777" w:rsidR="00DC20DF" w:rsidRDefault="00DC20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7" w14:textId="77777777" w:rsidR="000E087C" w:rsidRDefault="000E087C">
    <w:pPr>
      <w:widowControl w:val="0"/>
      <w:pBdr>
        <w:top w:val="nil"/>
        <w:left w:val="nil"/>
        <w:bottom w:val="nil"/>
        <w:right w:val="nil"/>
        <w:between w:val="nil"/>
      </w:pBdr>
      <w:spacing w:line="276" w:lineRule="auto"/>
      <w:rPr>
        <w:color w:val="000000"/>
        <w:sz w:val="20"/>
        <w:szCs w:val="20"/>
      </w:rPr>
    </w:pPr>
  </w:p>
  <w:tbl>
    <w:tblPr>
      <w:tblW w:w="9016" w:type="dxa"/>
      <w:tblLayout w:type="fixed"/>
      <w:tblLook w:val="0600" w:firstRow="0" w:lastRow="0" w:firstColumn="0" w:lastColumn="0" w:noHBand="1" w:noVBand="1"/>
    </w:tblPr>
    <w:tblGrid>
      <w:gridCol w:w="3600"/>
      <w:gridCol w:w="2708"/>
      <w:gridCol w:w="2708"/>
    </w:tblGrid>
    <w:tr w:rsidR="000E087C" w14:paraId="070BBFB8" w14:textId="77777777" w:rsidTr="0990E1B4">
      <w:trPr>
        <w:trHeight w:val="300"/>
      </w:trPr>
      <w:tc>
        <w:tcPr>
          <w:tcW w:w="3600" w:type="dxa"/>
        </w:tcPr>
        <w:p w14:paraId="00000048" w14:textId="58686AAF" w:rsidR="000E087C" w:rsidRDefault="000E087C" w:rsidP="0990E1B4">
          <w:pPr>
            <w:pBdr>
              <w:top w:val="nil"/>
              <w:left w:val="nil"/>
              <w:bottom w:val="nil"/>
              <w:right w:val="nil"/>
              <w:between w:val="nil"/>
            </w:pBdr>
            <w:tabs>
              <w:tab w:val="center" w:pos="4680"/>
              <w:tab w:val="right" w:pos="9360"/>
            </w:tabs>
          </w:pPr>
        </w:p>
      </w:tc>
      <w:tc>
        <w:tcPr>
          <w:tcW w:w="2708" w:type="dxa"/>
        </w:tcPr>
        <w:p w14:paraId="00000049" w14:textId="77777777" w:rsidR="000E087C" w:rsidRDefault="000E087C">
          <w:pPr>
            <w:pBdr>
              <w:top w:val="nil"/>
              <w:left w:val="nil"/>
              <w:bottom w:val="nil"/>
              <w:right w:val="nil"/>
              <w:between w:val="nil"/>
            </w:pBdr>
            <w:tabs>
              <w:tab w:val="center" w:pos="4680"/>
              <w:tab w:val="right" w:pos="9360"/>
            </w:tabs>
            <w:jc w:val="center"/>
            <w:rPr>
              <w:color w:val="000000"/>
            </w:rPr>
          </w:pPr>
        </w:p>
      </w:tc>
      <w:tc>
        <w:tcPr>
          <w:tcW w:w="2708" w:type="dxa"/>
        </w:tcPr>
        <w:p w14:paraId="0000004A" w14:textId="77777777" w:rsidR="000E087C" w:rsidRDefault="000E087C">
          <w:pPr>
            <w:pBdr>
              <w:top w:val="nil"/>
              <w:left w:val="nil"/>
              <w:bottom w:val="nil"/>
              <w:right w:val="nil"/>
              <w:between w:val="nil"/>
            </w:pBdr>
            <w:tabs>
              <w:tab w:val="center" w:pos="4680"/>
              <w:tab w:val="right" w:pos="9360"/>
            </w:tabs>
            <w:ind w:right="-115"/>
            <w:jc w:val="right"/>
            <w:rPr>
              <w:color w:val="000000"/>
            </w:rPr>
          </w:pPr>
        </w:p>
      </w:tc>
    </w:tr>
  </w:tbl>
  <w:p w14:paraId="0000004B" w14:textId="77777777" w:rsidR="000E087C" w:rsidRDefault="000E087C">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24D3B"/>
    <w:multiLevelType w:val="hybridMultilevel"/>
    <w:tmpl w:val="4DECBE7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 w15:restartNumberingAfterBreak="0">
    <w:nsid w:val="0C8B50D0"/>
    <w:multiLevelType w:val="multilevel"/>
    <w:tmpl w:val="0462A738"/>
    <w:lvl w:ilvl="0">
      <w:start w:val="178"/>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EA47A7C"/>
    <w:multiLevelType w:val="multilevel"/>
    <w:tmpl w:val="7B747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D23E85"/>
    <w:multiLevelType w:val="multilevel"/>
    <w:tmpl w:val="7CA404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B4F7638"/>
    <w:multiLevelType w:val="multilevel"/>
    <w:tmpl w:val="21A4F500"/>
    <w:lvl w:ilvl="0">
      <w:start w:val="178"/>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4377C1F"/>
    <w:multiLevelType w:val="multilevel"/>
    <w:tmpl w:val="FDC045FE"/>
    <w:lvl w:ilvl="0">
      <w:start w:val="178"/>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6B243E5"/>
    <w:multiLevelType w:val="hybridMultilevel"/>
    <w:tmpl w:val="64104B06"/>
    <w:lvl w:ilvl="0" w:tplc="7578F33C">
      <w:start w:val="1"/>
      <w:numFmt w:val="bullet"/>
      <w:lvlText w:val=""/>
      <w:lvlJc w:val="left"/>
      <w:pPr>
        <w:ind w:left="720" w:hanging="360"/>
      </w:pPr>
      <w:rPr>
        <w:rFonts w:ascii="Symbol" w:hAnsi="Symbol" w:hint="default"/>
      </w:rPr>
    </w:lvl>
    <w:lvl w:ilvl="1" w:tplc="D12C22A2">
      <w:start w:val="1"/>
      <w:numFmt w:val="bullet"/>
      <w:lvlText w:val="o"/>
      <w:lvlJc w:val="left"/>
      <w:pPr>
        <w:ind w:left="1440" w:hanging="360"/>
      </w:pPr>
      <w:rPr>
        <w:rFonts w:ascii="Courier New" w:hAnsi="Courier New" w:hint="default"/>
      </w:rPr>
    </w:lvl>
    <w:lvl w:ilvl="2" w:tplc="F3244C90">
      <w:start w:val="1"/>
      <w:numFmt w:val="bullet"/>
      <w:lvlText w:val=""/>
      <w:lvlJc w:val="left"/>
      <w:pPr>
        <w:ind w:left="2160" w:hanging="360"/>
      </w:pPr>
      <w:rPr>
        <w:rFonts w:ascii="Wingdings" w:hAnsi="Wingdings" w:hint="default"/>
      </w:rPr>
    </w:lvl>
    <w:lvl w:ilvl="3" w:tplc="C2BE81F4">
      <w:start w:val="1"/>
      <w:numFmt w:val="bullet"/>
      <w:lvlText w:val=""/>
      <w:lvlJc w:val="left"/>
      <w:pPr>
        <w:ind w:left="2880" w:hanging="360"/>
      </w:pPr>
      <w:rPr>
        <w:rFonts w:ascii="Symbol" w:hAnsi="Symbol" w:hint="default"/>
      </w:rPr>
    </w:lvl>
    <w:lvl w:ilvl="4" w:tplc="E14239D4">
      <w:start w:val="1"/>
      <w:numFmt w:val="bullet"/>
      <w:lvlText w:val="o"/>
      <w:lvlJc w:val="left"/>
      <w:pPr>
        <w:ind w:left="3600" w:hanging="360"/>
      </w:pPr>
      <w:rPr>
        <w:rFonts w:ascii="Courier New" w:hAnsi="Courier New" w:hint="default"/>
      </w:rPr>
    </w:lvl>
    <w:lvl w:ilvl="5" w:tplc="E24E627A">
      <w:start w:val="1"/>
      <w:numFmt w:val="bullet"/>
      <w:lvlText w:val=""/>
      <w:lvlJc w:val="left"/>
      <w:pPr>
        <w:ind w:left="4320" w:hanging="360"/>
      </w:pPr>
      <w:rPr>
        <w:rFonts w:ascii="Wingdings" w:hAnsi="Wingdings" w:hint="default"/>
      </w:rPr>
    </w:lvl>
    <w:lvl w:ilvl="6" w:tplc="6DD644B4">
      <w:start w:val="1"/>
      <w:numFmt w:val="bullet"/>
      <w:lvlText w:val=""/>
      <w:lvlJc w:val="left"/>
      <w:pPr>
        <w:ind w:left="5040" w:hanging="360"/>
      </w:pPr>
      <w:rPr>
        <w:rFonts w:ascii="Symbol" w:hAnsi="Symbol" w:hint="default"/>
      </w:rPr>
    </w:lvl>
    <w:lvl w:ilvl="7" w:tplc="34C84B4C">
      <w:start w:val="1"/>
      <w:numFmt w:val="bullet"/>
      <w:lvlText w:val="o"/>
      <w:lvlJc w:val="left"/>
      <w:pPr>
        <w:ind w:left="5760" w:hanging="360"/>
      </w:pPr>
      <w:rPr>
        <w:rFonts w:ascii="Courier New" w:hAnsi="Courier New" w:hint="default"/>
      </w:rPr>
    </w:lvl>
    <w:lvl w:ilvl="8" w:tplc="2DD6F0FC">
      <w:start w:val="1"/>
      <w:numFmt w:val="bullet"/>
      <w:lvlText w:val=""/>
      <w:lvlJc w:val="left"/>
      <w:pPr>
        <w:ind w:left="6480" w:hanging="360"/>
      </w:pPr>
      <w:rPr>
        <w:rFonts w:ascii="Wingdings" w:hAnsi="Wingdings" w:hint="default"/>
      </w:rPr>
    </w:lvl>
  </w:abstractNum>
  <w:abstractNum w:abstractNumId="7" w15:restartNumberingAfterBreak="0">
    <w:nsid w:val="637B3127"/>
    <w:multiLevelType w:val="multilevel"/>
    <w:tmpl w:val="E500BB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04821438">
    <w:abstractNumId w:val="1"/>
  </w:num>
  <w:num w:numId="2" w16cid:durableId="1779787542">
    <w:abstractNumId w:val="5"/>
  </w:num>
  <w:num w:numId="3" w16cid:durableId="1972831601">
    <w:abstractNumId w:val="3"/>
  </w:num>
  <w:num w:numId="4" w16cid:durableId="900017811">
    <w:abstractNumId w:val="7"/>
  </w:num>
  <w:num w:numId="5" w16cid:durableId="281502378">
    <w:abstractNumId w:val="4"/>
  </w:num>
  <w:num w:numId="6" w16cid:durableId="1716615365">
    <w:abstractNumId w:val="6"/>
  </w:num>
  <w:num w:numId="7" w16cid:durableId="1009867490">
    <w:abstractNumId w:val="2"/>
  </w:num>
  <w:num w:numId="8" w16cid:durableId="76562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87C"/>
    <w:rsid w:val="00013AAB"/>
    <w:rsid w:val="000E087C"/>
    <w:rsid w:val="00242E65"/>
    <w:rsid w:val="00264C6B"/>
    <w:rsid w:val="002B5CF7"/>
    <w:rsid w:val="002D654E"/>
    <w:rsid w:val="00340181"/>
    <w:rsid w:val="00384DB4"/>
    <w:rsid w:val="003E76C7"/>
    <w:rsid w:val="00495DA8"/>
    <w:rsid w:val="00503982"/>
    <w:rsid w:val="00553D48"/>
    <w:rsid w:val="005824E6"/>
    <w:rsid w:val="005F7A2C"/>
    <w:rsid w:val="00633179"/>
    <w:rsid w:val="0065312E"/>
    <w:rsid w:val="006766DF"/>
    <w:rsid w:val="00691533"/>
    <w:rsid w:val="006E0B65"/>
    <w:rsid w:val="00707381"/>
    <w:rsid w:val="00711804"/>
    <w:rsid w:val="00752E6D"/>
    <w:rsid w:val="0078773E"/>
    <w:rsid w:val="007C61D5"/>
    <w:rsid w:val="007D6C73"/>
    <w:rsid w:val="008027A6"/>
    <w:rsid w:val="00830EAB"/>
    <w:rsid w:val="008401AC"/>
    <w:rsid w:val="008744E3"/>
    <w:rsid w:val="008F7F37"/>
    <w:rsid w:val="009F66A5"/>
    <w:rsid w:val="00A45DDC"/>
    <w:rsid w:val="00AA55EF"/>
    <w:rsid w:val="00AF23DD"/>
    <w:rsid w:val="00B023F7"/>
    <w:rsid w:val="00B1734E"/>
    <w:rsid w:val="00B41829"/>
    <w:rsid w:val="00B91AB2"/>
    <w:rsid w:val="00BC5C73"/>
    <w:rsid w:val="00C20946"/>
    <w:rsid w:val="00CB0C58"/>
    <w:rsid w:val="00CF4547"/>
    <w:rsid w:val="00D22F59"/>
    <w:rsid w:val="00D24FF2"/>
    <w:rsid w:val="00D252AF"/>
    <w:rsid w:val="00D37906"/>
    <w:rsid w:val="00DA182C"/>
    <w:rsid w:val="00DA4B50"/>
    <w:rsid w:val="00DC20DF"/>
    <w:rsid w:val="00DC4B6E"/>
    <w:rsid w:val="00E437FF"/>
    <w:rsid w:val="00E522DC"/>
    <w:rsid w:val="00E80772"/>
    <w:rsid w:val="00E97A38"/>
    <w:rsid w:val="00EB3979"/>
    <w:rsid w:val="00EE690E"/>
    <w:rsid w:val="00F22045"/>
    <w:rsid w:val="00F2551B"/>
    <w:rsid w:val="00FE7924"/>
    <w:rsid w:val="01AD196A"/>
    <w:rsid w:val="02AEBD35"/>
    <w:rsid w:val="069658EB"/>
    <w:rsid w:val="0990E1B4"/>
    <w:rsid w:val="0BB57B58"/>
    <w:rsid w:val="11AA14D7"/>
    <w:rsid w:val="19CCA8E6"/>
    <w:rsid w:val="1BA48B98"/>
    <w:rsid w:val="21182B33"/>
    <w:rsid w:val="26DF5F49"/>
    <w:rsid w:val="320112E8"/>
    <w:rsid w:val="43455BB3"/>
    <w:rsid w:val="52E3BDC0"/>
    <w:rsid w:val="58718E17"/>
    <w:rsid w:val="5BCAD896"/>
    <w:rsid w:val="5D4044D3"/>
    <w:rsid w:val="6955FC93"/>
    <w:rsid w:val="6A4D1985"/>
    <w:rsid w:val="7340A6D8"/>
    <w:rsid w:val="79A34DA0"/>
    <w:rsid w:val="79DE14C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37B86"/>
  <w15:docId w15:val="{43C85828-4ABB-47F3-8B8F-E34B6A6E1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FA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E97DC2"/>
    <w:pPr>
      <w:keepNext/>
      <w:keepLines/>
      <w:spacing w:before="40"/>
      <w:outlineLvl w:val="2"/>
    </w:pPr>
    <w:rPr>
      <w:rFonts w:asciiTheme="majorHAnsi" w:eastAsiaTheme="majorEastAsia" w:hAnsiTheme="majorHAnsi" w:cstheme="majorBidi"/>
      <w:color w:val="570A09"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104FA1"/>
    <w:pPr>
      <w:ind w:left="720"/>
    </w:pPr>
  </w:style>
  <w:style w:type="character" w:customStyle="1" w:styleId="normaltextrun">
    <w:name w:val="normaltextrun"/>
    <w:basedOn w:val="DefaultParagraphFont"/>
    <w:rsid w:val="00446732"/>
  </w:style>
  <w:style w:type="character" w:customStyle="1" w:styleId="eop">
    <w:name w:val="eop"/>
    <w:basedOn w:val="DefaultParagraphFont"/>
    <w:rsid w:val="00446732"/>
  </w:style>
  <w:style w:type="character" w:styleId="CommentReference">
    <w:name w:val="annotation reference"/>
    <w:basedOn w:val="DefaultParagraphFont"/>
    <w:uiPriority w:val="99"/>
    <w:semiHidden/>
    <w:unhideWhenUsed/>
    <w:rsid w:val="00196331"/>
    <w:rPr>
      <w:sz w:val="16"/>
      <w:szCs w:val="16"/>
    </w:rPr>
  </w:style>
  <w:style w:type="paragraph" w:styleId="CommentText">
    <w:name w:val="annotation text"/>
    <w:basedOn w:val="Normal"/>
    <w:link w:val="CommentTextChar"/>
    <w:uiPriority w:val="99"/>
    <w:unhideWhenUsed/>
    <w:rsid w:val="00196331"/>
    <w:rPr>
      <w:sz w:val="20"/>
      <w:szCs w:val="20"/>
    </w:rPr>
  </w:style>
  <w:style w:type="character" w:customStyle="1" w:styleId="CommentTextChar">
    <w:name w:val="Comment Text Char"/>
    <w:basedOn w:val="DefaultParagraphFont"/>
    <w:link w:val="CommentText"/>
    <w:uiPriority w:val="99"/>
    <w:rsid w:val="00196331"/>
    <w:rPr>
      <w:rFonts w:ascii="Calibri" w:hAnsi="Calibri" w:cs="Calibri"/>
      <w:kern w:val="0"/>
      <w:sz w:val="20"/>
      <w:szCs w:val="20"/>
    </w:rPr>
  </w:style>
  <w:style w:type="paragraph" w:styleId="CommentSubject">
    <w:name w:val="annotation subject"/>
    <w:basedOn w:val="CommentText"/>
    <w:next w:val="CommentText"/>
    <w:link w:val="CommentSubjectChar"/>
    <w:uiPriority w:val="99"/>
    <w:semiHidden/>
    <w:unhideWhenUsed/>
    <w:rsid w:val="00196331"/>
    <w:rPr>
      <w:b/>
      <w:bCs/>
    </w:rPr>
  </w:style>
  <w:style w:type="character" w:customStyle="1" w:styleId="CommentSubjectChar">
    <w:name w:val="Comment Subject Char"/>
    <w:basedOn w:val="CommentTextChar"/>
    <w:link w:val="CommentSubject"/>
    <w:uiPriority w:val="99"/>
    <w:semiHidden/>
    <w:rsid w:val="00196331"/>
    <w:rPr>
      <w:rFonts w:ascii="Calibri" w:hAnsi="Calibri" w:cs="Calibri"/>
      <w:b/>
      <w:bCs/>
      <w:kern w:val="0"/>
      <w:sz w:val="20"/>
      <w:szCs w:val="20"/>
    </w:rPr>
  </w:style>
  <w:style w:type="character" w:customStyle="1" w:styleId="Heading3Char">
    <w:name w:val="Heading 3 Char"/>
    <w:basedOn w:val="DefaultParagraphFont"/>
    <w:link w:val="Heading3"/>
    <w:uiPriority w:val="9"/>
    <w:rsid w:val="00E97DC2"/>
    <w:rPr>
      <w:rFonts w:asciiTheme="majorHAnsi" w:eastAsiaTheme="majorEastAsia" w:hAnsiTheme="majorHAnsi" w:cstheme="majorBidi"/>
      <w:color w:val="570A09" w:themeColor="accent1" w:themeShade="7F"/>
      <w:kern w:val="0"/>
      <w:sz w:val="24"/>
      <w:szCs w:val="24"/>
    </w:rPr>
  </w:style>
  <w:style w:type="character" w:customStyle="1" w:styleId="text-char-limit-info">
    <w:name w:val="text-char-limit-info"/>
    <w:basedOn w:val="DefaultParagraphFont"/>
    <w:rsid w:val="00A956FB"/>
  </w:style>
  <w:style w:type="character" w:customStyle="1" w:styleId="ui-provider">
    <w:name w:val="ui-provider"/>
    <w:basedOn w:val="DefaultParagraphFont"/>
    <w:rsid w:val="00EC5747"/>
  </w:style>
  <w:style w:type="paragraph" w:styleId="Revision">
    <w:name w:val="Revision"/>
    <w:hidden/>
    <w:uiPriority w:val="99"/>
    <w:semiHidden/>
    <w:rsid w:val="009649A6"/>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FootnoteText">
    <w:name w:val="footnote text"/>
    <w:basedOn w:val="Normal"/>
    <w:link w:val="FootnoteTextChar"/>
    <w:uiPriority w:val="99"/>
    <w:semiHidden/>
    <w:unhideWhenUsed/>
    <w:rsid w:val="006F1277"/>
    <w:rPr>
      <w:sz w:val="20"/>
      <w:szCs w:val="20"/>
    </w:rPr>
  </w:style>
  <w:style w:type="character" w:customStyle="1" w:styleId="FootnoteTextChar">
    <w:name w:val="Footnote Text Char"/>
    <w:basedOn w:val="DefaultParagraphFont"/>
    <w:link w:val="FootnoteText"/>
    <w:uiPriority w:val="99"/>
    <w:semiHidden/>
    <w:rsid w:val="006F1277"/>
    <w:rPr>
      <w:rFonts w:ascii="Calibri" w:hAnsi="Calibri" w:cs="Calibri"/>
      <w:kern w:val="0"/>
      <w:sz w:val="20"/>
      <w:szCs w:val="20"/>
    </w:rPr>
  </w:style>
  <w:style w:type="character" w:styleId="FootnoteReference">
    <w:name w:val="footnote reference"/>
    <w:basedOn w:val="DefaultParagraphFont"/>
    <w:uiPriority w:val="99"/>
    <w:semiHidden/>
    <w:unhideWhenUsed/>
    <w:rsid w:val="006F1277"/>
    <w:rPr>
      <w:vertAlign w:val="superscript"/>
    </w:rPr>
  </w:style>
  <w:style w:type="character" w:styleId="Hyperlink">
    <w:name w:val="Hyperlink"/>
    <w:basedOn w:val="DefaultParagraphFont"/>
    <w:uiPriority w:val="99"/>
    <w:unhideWhenUsed/>
    <w:rsid w:val="00D97E3F"/>
    <w:rPr>
      <w:color w:val="58C1BA" w:themeColor="hyperlink"/>
      <w:u w:val="single"/>
    </w:rPr>
  </w:style>
  <w:style w:type="character" w:styleId="UnresolvedMention">
    <w:name w:val="Unresolved Mention"/>
    <w:basedOn w:val="DefaultParagraphFont"/>
    <w:uiPriority w:val="99"/>
    <w:semiHidden/>
    <w:unhideWhenUsed/>
    <w:rsid w:val="00D97E3F"/>
    <w:rPr>
      <w:color w:val="605E5C"/>
      <w:shd w:val="clear" w:color="auto" w:fill="E1DFDD"/>
    </w:rPr>
  </w:style>
  <w:style w:type="character" w:customStyle="1" w:styleId="cf01">
    <w:name w:val="cf01"/>
    <w:basedOn w:val="DefaultParagraphFont"/>
    <w:rsid w:val="00A90A37"/>
    <w:rPr>
      <w:rFonts w:ascii="Segoe UI" w:hAnsi="Segoe UI" w:cs="Segoe UI" w:hint="default"/>
      <w:sz w:val="18"/>
      <w:szCs w:val="18"/>
    </w:rPr>
  </w:style>
  <w:style w:type="paragraph" w:styleId="BalloonText">
    <w:name w:val="Balloon Text"/>
    <w:basedOn w:val="Normal"/>
    <w:link w:val="BalloonTextChar"/>
    <w:uiPriority w:val="99"/>
    <w:semiHidden/>
    <w:unhideWhenUsed/>
    <w:rsid w:val="003A24A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A24A3"/>
    <w:rPr>
      <w:rFonts w:ascii="Times New Roman" w:hAnsi="Times New Roman" w:cs="Times New Roman"/>
      <w:kern w:val="0"/>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EndnoteText">
    <w:name w:val="endnote text"/>
    <w:basedOn w:val="Normal"/>
    <w:link w:val="EndnoteTextChar"/>
    <w:uiPriority w:val="99"/>
    <w:semiHidden/>
    <w:unhideWhenUsed/>
    <w:rsid w:val="008744E3"/>
    <w:rPr>
      <w:sz w:val="20"/>
      <w:szCs w:val="20"/>
    </w:rPr>
  </w:style>
  <w:style w:type="character" w:customStyle="1" w:styleId="EndnoteTextChar">
    <w:name w:val="Endnote Text Char"/>
    <w:basedOn w:val="DefaultParagraphFont"/>
    <w:link w:val="EndnoteText"/>
    <w:uiPriority w:val="99"/>
    <w:semiHidden/>
    <w:rsid w:val="008744E3"/>
    <w:rPr>
      <w:sz w:val="20"/>
      <w:szCs w:val="20"/>
    </w:rPr>
  </w:style>
  <w:style w:type="character" w:styleId="EndnoteReference">
    <w:name w:val="endnote reference"/>
    <w:basedOn w:val="DefaultParagraphFont"/>
    <w:uiPriority w:val="99"/>
    <w:semiHidden/>
    <w:unhideWhenUsed/>
    <w:rsid w:val="008744E3"/>
    <w:rPr>
      <w:vertAlign w:val="superscript"/>
    </w:rPr>
  </w:style>
  <w:style w:type="character" w:styleId="FollowedHyperlink">
    <w:name w:val="FollowedHyperlink"/>
    <w:basedOn w:val="DefaultParagraphFont"/>
    <w:uiPriority w:val="99"/>
    <w:semiHidden/>
    <w:unhideWhenUsed/>
    <w:rsid w:val="00CB0C58"/>
    <w:rPr>
      <w:color w:val="9DFFCB" w:themeColor="followedHyperlink"/>
      <w:u w:val="single"/>
    </w:rPr>
  </w:style>
  <w:style w:type="paragraph" w:customStyle="1" w:styleId="paragraph">
    <w:name w:val="paragraph"/>
    <w:basedOn w:val="Normal"/>
    <w:rsid w:val="00340181"/>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454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hesolentcluster.com/about/" TargetMode="External"/><Relationship Id="rId18" Type="http://schemas.openxmlformats.org/officeDocument/2006/relationships/hyperlink" Target="https://corporate.exxonmobil.com/news/news-releases/2021/1208_exxonmobil_sgn_green-investment-sign-mou-for-southampton-hydrogen-hub"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thesolentcluster.com/about/project-plan/" TargetMode="External"/><Relationship Id="rId2" Type="http://schemas.openxmlformats.org/officeDocument/2006/relationships/customXml" Target="../customXml/item2.xml"/><Relationship Id="rId16" Type="http://schemas.openxmlformats.org/officeDocument/2006/relationships/hyperlink" Target="https://h2sciencecoalition.com/briefings/clean-hydrogen-definit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h2sciencecoalition.com/briefings/clean-hydrogen-definition/"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h2sciencecoalition.com/briefings/clean-hydrogen-definition/" TargetMode="External"/><Relationship Id="rId22"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8" Type="http://schemas.openxmlformats.org/officeDocument/2006/relationships/hyperlink" Target="https://www.thesolentcluster.com/about/project-plan/" TargetMode="External"/><Relationship Id="rId13" Type="http://schemas.openxmlformats.org/officeDocument/2006/relationships/hyperlink" Target="https://www.smithschool.ox.ac.uk/news/heavy-dependence-carbon-capture-and-storage-highly-economically-damaging-says-oxford-report" TargetMode="External"/><Relationship Id="rId3" Type="http://schemas.openxmlformats.org/officeDocument/2006/relationships/hyperlink" Target="https://www.ipcc.ch/report/ar6/syr/downloads/report/IPCC_AR6_SYR_SPM.pdf" TargetMode="External"/><Relationship Id="rId7" Type="http://schemas.openxmlformats.org/officeDocument/2006/relationships/hyperlink" Target="https://nic.org.uk/studies-reports/national-infrastructure-assessment/second-nia/hydrogen-for-heat-annex/" TargetMode="External"/><Relationship Id="rId12" Type="http://schemas.openxmlformats.org/officeDocument/2006/relationships/hyperlink" Target="https://www.iea.org/reports/the-oil-and-gas-industry-in-net-zero-transitions" TargetMode="External"/><Relationship Id="rId2" Type="http://schemas.openxmlformats.org/officeDocument/2006/relationships/hyperlink" Target="https://www.iea.org/reports/net-zero-by-2050" TargetMode="External"/><Relationship Id="rId1" Type="http://schemas.openxmlformats.org/officeDocument/2006/relationships/hyperlink" Target="https://www.overshootcommission.org/overshoot" TargetMode="External"/><Relationship Id="rId6" Type="http://schemas.openxmlformats.org/officeDocument/2006/relationships/hyperlink" Target="https://committees.parliament.uk/publications/33292/documents/180198/default/" TargetMode="External"/><Relationship Id="rId11" Type="http://schemas.openxmlformats.org/officeDocument/2006/relationships/hyperlink" Target="https://ieefa.org/resources/norways-sleipner-and-snohvit-ccs-industry-models-or-cautionary-tales" TargetMode="External"/><Relationship Id="rId5" Type="http://schemas.openxmlformats.org/officeDocument/2006/relationships/hyperlink" Target="https://h2sciencecoalition.com/briefings/clean-hydrogen-definition/" TargetMode="External"/><Relationship Id="rId10" Type="http://schemas.openxmlformats.org/officeDocument/2006/relationships/hyperlink" Target="https://australia.chevron.com/-/media/australia/our-businesses/documents/gorgon-gas-development-and-jansz-feed-gas-pipeline-environmental-performance-report-2022.pdf" TargetMode="External"/><Relationship Id="rId4" Type="http://schemas.openxmlformats.org/officeDocument/2006/relationships/hyperlink" Target="https://onlinelibrary.wiley.com/doi/full/10.1002/ese3.956" TargetMode="External"/><Relationship Id="rId9" Type="http://schemas.openxmlformats.org/officeDocument/2006/relationships/hyperlink" Target="https://corporate.exxonmobil.com/news/news-releases/2021/1208_exxonmobil_sgn_green-investment-sign-mou-for-southampton-hydrogen-hub"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BFB3C8B-B2AD-4F39-9AF8-7F999A0E2A9B}"/>
      </w:docPartPr>
      <w:docPartBody>
        <w:p w:rsidR="00F75618" w:rsidRDefault="00F7561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Noto Sans Symbols">
    <w:altName w:val="Calibri"/>
    <w:panose1 w:val="020B0604020202020204"/>
    <w:charset w:val="00"/>
    <w:family w:val="auto"/>
    <w:pitch w:val="default"/>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75618"/>
    <w:rsid w:val="008871CF"/>
    <w:rsid w:val="00F7561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_rels/theme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E8D0258781E948ADBB1DF53EE326F2" ma:contentTypeVersion="17" ma:contentTypeDescription="Create a new document." ma:contentTypeScope="" ma:versionID="fac24a389cd4dd7926f5564a06b4c59b">
  <xsd:schema xmlns:xsd="http://www.w3.org/2001/XMLSchema" xmlns:xs="http://www.w3.org/2001/XMLSchema" xmlns:p="http://schemas.microsoft.com/office/2006/metadata/properties" xmlns:ns2="683a9e3d-044a-4cc2-9962-91685f6bd54a" xmlns:ns3="914596f7-2e2a-4514-8226-2584f1118666" targetNamespace="http://schemas.microsoft.com/office/2006/metadata/properties" ma:root="true" ma:fieldsID="a5f107819d7c8075a6a15813d3a7e6ac" ns2:_="" ns3:_="">
    <xsd:import namespace="683a9e3d-044a-4cc2-9962-91685f6bd54a"/>
    <xsd:import namespace="914596f7-2e2a-4514-8226-2584f11186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3a9e3d-044a-4cc2-9962-91685f6bd5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ed7a1a3-473e-4927-98d6-49a28d24d937"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4596f7-2e2a-4514-8226-2584f111866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9841749-2d3c-4a4b-b377-6c4976354195}" ma:internalName="TaxCatchAll" ma:showField="CatchAllData" ma:web="914596f7-2e2a-4514-8226-2584f11186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14596f7-2e2a-4514-8226-2584f1118666" xsi:nil="true"/>
    <lcf76f155ced4ddcb4097134ff3c332f xmlns="683a9e3d-044a-4cc2-9962-91685f6bd54a">
      <Terms xmlns="http://schemas.microsoft.com/office/infopath/2007/PartnerControls"/>
    </lcf76f155ced4ddcb4097134ff3c332f>
    <SharedWithUsers xmlns="914596f7-2e2a-4514-8226-2584f1118666">
      <UserInfo>
        <DisplayName>Robertson, Melanie</DisplayName>
        <AccountId>14</AccountId>
        <AccountType/>
      </UserInfo>
    </SharedWithUsers>
  </documentManagement>
</p:properties>
</file>

<file path=customXml/item5.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XKzmJXM2VAZocri1tpRYIJ3hDw==">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</go:docsCustomData>
</go:gDocsCustomXmlDataStorage>
</file>

<file path=customXml/itemProps1.xml><?xml version="1.0" encoding="utf-8"?>
<ds:datastoreItem xmlns:ds="http://schemas.openxmlformats.org/officeDocument/2006/customXml" ds:itemID="{8661EF11-A934-4D16-9E2F-41E885877374}">
  <ds:schemaRefs>
    <ds:schemaRef ds:uri="http://schemas.microsoft.com/sharepoint/v3/contenttype/forms"/>
  </ds:schemaRefs>
</ds:datastoreItem>
</file>

<file path=customXml/itemProps2.xml><?xml version="1.0" encoding="utf-8"?>
<ds:datastoreItem xmlns:ds="http://schemas.openxmlformats.org/officeDocument/2006/customXml" ds:itemID="{122551FD-3630-4FFB-802B-371F556FC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3a9e3d-044a-4cc2-9962-91685f6bd54a"/>
    <ds:schemaRef ds:uri="914596f7-2e2a-4514-8226-2584f11186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B3F9FA-88B1-4430-9125-D1C604BE2893}">
  <ds:schemaRefs>
    <ds:schemaRef ds:uri="http://schemas.openxmlformats.org/officeDocument/2006/bibliography"/>
  </ds:schemaRefs>
</ds:datastoreItem>
</file>

<file path=customXml/itemProps4.xml><?xml version="1.0" encoding="utf-8"?>
<ds:datastoreItem xmlns:ds="http://schemas.openxmlformats.org/officeDocument/2006/customXml" ds:itemID="{7AFD8F9C-30BC-4520-843C-8EBCB9BCECC5}">
  <ds:schemaRefs>
    <ds:schemaRef ds:uri="http://schemas.microsoft.com/office/2006/metadata/properties"/>
    <ds:schemaRef ds:uri="http://schemas.microsoft.com/office/infopath/2007/PartnerControls"/>
    <ds:schemaRef ds:uri="914596f7-2e2a-4514-8226-2584f1118666"/>
    <ds:schemaRef ds:uri="683a9e3d-044a-4cc2-9962-91685f6bd54a"/>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1132</Words>
  <Characters>6455</Characters>
  <Application>Microsoft Office Word</Application>
  <DocSecurity>0</DocSecurity>
  <Lines>53</Lines>
  <Paragraphs>15</Paragraphs>
  <ScaleCrop>false</ScaleCrop>
  <Company/>
  <LinksUpToDate>false</LinksUpToDate>
  <CharactersWithSpaces>7572</CharactersWithSpaces>
  <SharedDoc>false</SharedDoc>
  <HLinks>
    <vt:vector size="114" baseType="variant">
      <vt:variant>
        <vt:i4>1900667</vt:i4>
      </vt:variant>
      <vt:variant>
        <vt:i4>15</vt:i4>
      </vt:variant>
      <vt:variant>
        <vt:i4>0</vt:i4>
      </vt:variant>
      <vt:variant>
        <vt:i4>5</vt:i4>
      </vt:variant>
      <vt:variant>
        <vt:lpwstr>https://corporate.exxonmobil.com/news/news-releases/2021/1208_exxonmobil_sgn_green-investment-sign-mou-for-southampton-hydrogen-hub</vt:lpwstr>
      </vt:variant>
      <vt:variant>
        <vt:lpwstr/>
      </vt:variant>
      <vt:variant>
        <vt:i4>327767</vt:i4>
      </vt:variant>
      <vt:variant>
        <vt:i4>12</vt:i4>
      </vt:variant>
      <vt:variant>
        <vt:i4>0</vt:i4>
      </vt:variant>
      <vt:variant>
        <vt:i4>5</vt:i4>
      </vt:variant>
      <vt:variant>
        <vt:lpwstr>https://www.thesolentcluster.com/about/project-plan/</vt:lpwstr>
      </vt:variant>
      <vt:variant>
        <vt:lpwstr/>
      </vt:variant>
      <vt:variant>
        <vt:i4>7667756</vt:i4>
      </vt:variant>
      <vt:variant>
        <vt:i4>9</vt:i4>
      </vt:variant>
      <vt:variant>
        <vt:i4>0</vt:i4>
      </vt:variant>
      <vt:variant>
        <vt:i4>5</vt:i4>
      </vt:variant>
      <vt:variant>
        <vt:lpwstr>https://h2sciencecoalition.com/briefings/clean-hydrogen-definition/</vt:lpwstr>
      </vt:variant>
      <vt:variant>
        <vt:lpwstr/>
      </vt:variant>
      <vt:variant>
        <vt:i4>7667756</vt:i4>
      </vt:variant>
      <vt:variant>
        <vt:i4>6</vt:i4>
      </vt:variant>
      <vt:variant>
        <vt:i4>0</vt:i4>
      </vt:variant>
      <vt:variant>
        <vt:i4>5</vt:i4>
      </vt:variant>
      <vt:variant>
        <vt:lpwstr>https://h2sciencecoalition.com/briefings/clean-hydrogen-definition/</vt:lpwstr>
      </vt:variant>
      <vt:variant>
        <vt:lpwstr/>
      </vt:variant>
      <vt:variant>
        <vt:i4>7667756</vt:i4>
      </vt:variant>
      <vt:variant>
        <vt:i4>3</vt:i4>
      </vt:variant>
      <vt:variant>
        <vt:i4>0</vt:i4>
      </vt:variant>
      <vt:variant>
        <vt:i4>5</vt:i4>
      </vt:variant>
      <vt:variant>
        <vt:lpwstr>https://h2sciencecoalition.com/briefings/clean-hydrogen-definition/</vt:lpwstr>
      </vt:variant>
      <vt:variant>
        <vt:lpwstr/>
      </vt:variant>
      <vt:variant>
        <vt:i4>3473452</vt:i4>
      </vt:variant>
      <vt:variant>
        <vt:i4>0</vt:i4>
      </vt:variant>
      <vt:variant>
        <vt:i4>0</vt:i4>
      </vt:variant>
      <vt:variant>
        <vt:i4>5</vt:i4>
      </vt:variant>
      <vt:variant>
        <vt:lpwstr>https://www.thesolentcluster.com/about/</vt:lpwstr>
      </vt:variant>
      <vt:variant>
        <vt:lpwstr/>
      </vt:variant>
      <vt:variant>
        <vt:i4>5767253</vt:i4>
      </vt:variant>
      <vt:variant>
        <vt:i4>36</vt:i4>
      </vt:variant>
      <vt:variant>
        <vt:i4>0</vt:i4>
      </vt:variant>
      <vt:variant>
        <vt:i4>5</vt:i4>
      </vt:variant>
      <vt:variant>
        <vt:lpwstr>https://www.smithschool.ox.ac.uk/news/heavy-dependence-carbon-capture-and-storage-highly-economically-damaging-says-oxford-report</vt:lpwstr>
      </vt:variant>
      <vt:variant>
        <vt:lpwstr/>
      </vt:variant>
      <vt:variant>
        <vt:i4>2031682</vt:i4>
      </vt:variant>
      <vt:variant>
        <vt:i4>33</vt:i4>
      </vt:variant>
      <vt:variant>
        <vt:i4>0</vt:i4>
      </vt:variant>
      <vt:variant>
        <vt:i4>5</vt:i4>
      </vt:variant>
      <vt:variant>
        <vt:lpwstr>https://www.iea.org/reports/the-oil-and-gas-industry-in-net-zero-transitions</vt:lpwstr>
      </vt:variant>
      <vt:variant>
        <vt:lpwstr/>
      </vt:variant>
      <vt:variant>
        <vt:i4>1966152</vt:i4>
      </vt:variant>
      <vt:variant>
        <vt:i4>30</vt:i4>
      </vt:variant>
      <vt:variant>
        <vt:i4>0</vt:i4>
      </vt:variant>
      <vt:variant>
        <vt:i4>5</vt:i4>
      </vt:variant>
      <vt:variant>
        <vt:lpwstr>https://ieefa.org/resources/norways-sleipner-and-snohvit-ccs-industry-models-or-cautionary-tales</vt:lpwstr>
      </vt:variant>
      <vt:variant>
        <vt:lpwstr/>
      </vt:variant>
      <vt:variant>
        <vt:i4>262220</vt:i4>
      </vt:variant>
      <vt:variant>
        <vt:i4>27</vt:i4>
      </vt:variant>
      <vt:variant>
        <vt:i4>0</vt:i4>
      </vt:variant>
      <vt:variant>
        <vt:i4>5</vt:i4>
      </vt:variant>
      <vt:variant>
        <vt:lpwstr>https://australia.chevron.com/-/media/australia/our-businesses/documents/gorgon-gas-development-and-jansz-feed-gas-pipeline-environmental-performance-report-2022.pdf</vt:lpwstr>
      </vt:variant>
      <vt:variant>
        <vt:lpwstr/>
      </vt:variant>
      <vt:variant>
        <vt:i4>1900667</vt:i4>
      </vt:variant>
      <vt:variant>
        <vt:i4>24</vt:i4>
      </vt:variant>
      <vt:variant>
        <vt:i4>0</vt:i4>
      </vt:variant>
      <vt:variant>
        <vt:i4>5</vt:i4>
      </vt:variant>
      <vt:variant>
        <vt:lpwstr>https://corporate.exxonmobil.com/news/news-releases/2021/1208_exxonmobil_sgn_green-investment-sign-mou-for-southampton-hydrogen-hub</vt:lpwstr>
      </vt:variant>
      <vt:variant>
        <vt:lpwstr/>
      </vt:variant>
      <vt:variant>
        <vt:i4>327767</vt:i4>
      </vt:variant>
      <vt:variant>
        <vt:i4>21</vt:i4>
      </vt:variant>
      <vt:variant>
        <vt:i4>0</vt:i4>
      </vt:variant>
      <vt:variant>
        <vt:i4>5</vt:i4>
      </vt:variant>
      <vt:variant>
        <vt:lpwstr>https://www.thesolentcluster.com/about/project-plan/</vt:lpwstr>
      </vt:variant>
      <vt:variant>
        <vt:lpwstr/>
      </vt:variant>
      <vt:variant>
        <vt:i4>655360</vt:i4>
      </vt:variant>
      <vt:variant>
        <vt:i4>18</vt:i4>
      </vt:variant>
      <vt:variant>
        <vt:i4>0</vt:i4>
      </vt:variant>
      <vt:variant>
        <vt:i4>5</vt:i4>
      </vt:variant>
      <vt:variant>
        <vt:lpwstr>https://nic.org.uk/studies-reports/national-infrastructure-assessment/second-nia/hydrogen-for-heat-annex/</vt:lpwstr>
      </vt:variant>
      <vt:variant>
        <vt:lpwstr/>
      </vt:variant>
      <vt:variant>
        <vt:i4>6094870</vt:i4>
      </vt:variant>
      <vt:variant>
        <vt:i4>15</vt:i4>
      </vt:variant>
      <vt:variant>
        <vt:i4>0</vt:i4>
      </vt:variant>
      <vt:variant>
        <vt:i4>5</vt:i4>
      </vt:variant>
      <vt:variant>
        <vt:lpwstr>https://committees.parliament.uk/publications/33292/documents/180198/default/</vt:lpwstr>
      </vt:variant>
      <vt:variant>
        <vt:lpwstr/>
      </vt:variant>
      <vt:variant>
        <vt:i4>7667756</vt:i4>
      </vt:variant>
      <vt:variant>
        <vt:i4>12</vt:i4>
      </vt:variant>
      <vt:variant>
        <vt:i4>0</vt:i4>
      </vt:variant>
      <vt:variant>
        <vt:i4>5</vt:i4>
      </vt:variant>
      <vt:variant>
        <vt:lpwstr>https://h2sciencecoalition.com/briefings/clean-hydrogen-definition/</vt:lpwstr>
      </vt:variant>
      <vt:variant>
        <vt:lpwstr/>
      </vt:variant>
      <vt:variant>
        <vt:i4>589848</vt:i4>
      </vt:variant>
      <vt:variant>
        <vt:i4>9</vt:i4>
      </vt:variant>
      <vt:variant>
        <vt:i4>0</vt:i4>
      </vt:variant>
      <vt:variant>
        <vt:i4>5</vt:i4>
      </vt:variant>
      <vt:variant>
        <vt:lpwstr>https://onlinelibrary.wiley.com/doi/full/10.1002/ese3.956</vt:lpwstr>
      </vt:variant>
      <vt:variant>
        <vt:lpwstr/>
      </vt:variant>
      <vt:variant>
        <vt:i4>4194407</vt:i4>
      </vt:variant>
      <vt:variant>
        <vt:i4>6</vt:i4>
      </vt:variant>
      <vt:variant>
        <vt:i4>0</vt:i4>
      </vt:variant>
      <vt:variant>
        <vt:i4>5</vt:i4>
      </vt:variant>
      <vt:variant>
        <vt:lpwstr>https://www.ipcc.ch/report/ar6/syr/downloads/report/IPCC_AR6_SYR_SPM.pdf</vt:lpwstr>
      </vt:variant>
      <vt:variant>
        <vt:lpwstr/>
      </vt:variant>
      <vt:variant>
        <vt:i4>131074</vt:i4>
      </vt:variant>
      <vt:variant>
        <vt:i4>3</vt:i4>
      </vt:variant>
      <vt:variant>
        <vt:i4>0</vt:i4>
      </vt:variant>
      <vt:variant>
        <vt:i4>5</vt:i4>
      </vt:variant>
      <vt:variant>
        <vt:lpwstr>https://www.iea.org/reports/net-zero-by-2050</vt:lpwstr>
      </vt:variant>
      <vt:variant>
        <vt:lpwstr/>
      </vt:variant>
      <vt:variant>
        <vt:i4>4194378</vt:i4>
      </vt:variant>
      <vt:variant>
        <vt:i4>0</vt:i4>
      </vt:variant>
      <vt:variant>
        <vt:i4>0</vt:i4>
      </vt:variant>
      <vt:variant>
        <vt:i4>5</vt:i4>
      </vt:variant>
      <vt:variant>
        <vt:lpwstr>https://www.overshootcommission.org/overshoot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Robertson, Melanie</dc:creator>
  <cp:keywords/>
  <cp:lastModifiedBy>Philip Turner</cp:lastModifiedBy>
  <cp:revision>2</cp:revision>
  <dcterms:created xsi:type="dcterms:W3CDTF">2024-01-02T16:31:00Z</dcterms:created>
  <dcterms:modified xsi:type="dcterms:W3CDTF">2024-01-02T16:31:00Z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0x010100ABE8D0258781E948ADBB1DF53EE326F2</vt:lpwstr>
  </property>
  <property fmtid="{D5CDD505-2E9C-101B-9397-08002B2CF9AE}" pid="3" name="MediaServiceImageTags">
    <vt:lpwstr/>
  </property>
</Properties>
</file>